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09FFBA" w14:textId="77777777" w:rsidR="00111FF7" w:rsidRPr="00570E26" w:rsidRDefault="00111FF7" w:rsidP="00A913F6">
      <w:pPr>
        <w:spacing w:before="100" w:beforeAutospacing="1" w:after="120"/>
        <w:ind w:right="94"/>
        <w:rPr>
          <w:rFonts w:ascii="Calibri" w:eastAsia="Albany AMT" w:hAnsi="Calibri" w:cs="Calibri"/>
          <w:b/>
          <w:bCs/>
          <w:sz w:val="24"/>
          <w:szCs w:val="24"/>
        </w:rPr>
      </w:pPr>
    </w:p>
    <w:p w14:paraId="3F09FFBB" w14:textId="0150BD23" w:rsidR="00042B3A" w:rsidRDefault="00042B3A" w:rsidP="00042B3A">
      <w:pPr>
        <w:jc w:val="both"/>
        <w:rPr>
          <w:rFonts w:asciiTheme="minorHAnsi" w:hAnsiTheme="minorHAnsi" w:cstheme="minorHAnsi"/>
        </w:rPr>
      </w:pPr>
      <w:r>
        <w:rPr>
          <w:rFonts w:asciiTheme="minorHAnsi" w:hAnsiTheme="minorHAnsi" w:cstheme="minorHAnsi"/>
          <w:color w:val="000000"/>
        </w:rPr>
        <w:t>Le ‘</w:t>
      </w:r>
      <w:r w:rsidR="005A6396">
        <w:rPr>
          <w:rFonts w:asciiTheme="minorHAnsi" w:hAnsiTheme="minorHAnsi" w:cstheme="minorHAnsi"/>
        </w:rPr>
        <w:t>praticien de la réorganisation</w:t>
      </w:r>
      <w:r>
        <w:rPr>
          <w:rFonts w:asciiTheme="minorHAnsi" w:hAnsiTheme="minorHAnsi" w:cstheme="minorHAnsi"/>
        </w:rPr>
        <w:t>’</w:t>
      </w:r>
      <w:r w:rsidRPr="0050786D">
        <w:rPr>
          <w:rFonts w:asciiTheme="minorHAnsi" w:hAnsiTheme="minorHAnsi" w:cstheme="minorHAnsi"/>
        </w:rPr>
        <w:t xml:space="preserve"> </w:t>
      </w:r>
      <w:r>
        <w:rPr>
          <w:rFonts w:asciiTheme="minorHAnsi" w:hAnsiTheme="minorHAnsi" w:cstheme="minorHAnsi"/>
        </w:rPr>
        <w:t>est un instrument légal</w:t>
      </w:r>
      <w:r w:rsidRPr="0050786D">
        <w:rPr>
          <w:rFonts w:asciiTheme="minorHAnsi" w:hAnsiTheme="minorHAnsi" w:cstheme="minorHAnsi"/>
        </w:rPr>
        <w:t xml:space="preserve"> </w:t>
      </w:r>
      <w:r>
        <w:rPr>
          <w:rFonts w:asciiTheme="minorHAnsi" w:hAnsiTheme="minorHAnsi" w:cstheme="minorHAnsi"/>
        </w:rPr>
        <w:t>méconnu</w:t>
      </w:r>
      <w:r w:rsidRPr="0050786D">
        <w:rPr>
          <w:rFonts w:asciiTheme="minorHAnsi" w:hAnsiTheme="minorHAnsi" w:cstheme="minorHAnsi"/>
        </w:rPr>
        <w:t xml:space="preserve">, qui </w:t>
      </w:r>
      <w:r>
        <w:rPr>
          <w:rFonts w:asciiTheme="minorHAnsi" w:hAnsiTheme="minorHAnsi" w:cstheme="minorHAnsi"/>
        </w:rPr>
        <w:t xml:space="preserve">présente un </w:t>
      </w:r>
      <w:r w:rsidRPr="0050786D">
        <w:rPr>
          <w:rFonts w:asciiTheme="minorHAnsi" w:hAnsiTheme="minorHAnsi" w:cstheme="minorHAnsi"/>
        </w:rPr>
        <w:t xml:space="preserve">intérêt </w:t>
      </w:r>
      <w:r>
        <w:rPr>
          <w:rFonts w:asciiTheme="minorHAnsi" w:hAnsiTheme="minorHAnsi" w:cstheme="minorHAnsi"/>
        </w:rPr>
        <w:t xml:space="preserve">concret </w:t>
      </w:r>
      <w:r w:rsidRPr="0050786D">
        <w:rPr>
          <w:rFonts w:asciiTheme="minorHAnsi" w:hAnsiTheme="minorHAnsi" w:cstheme="minorHAnsi"/>
        </w:rPr>
        <w:t>dans</w:t>
      </w:r>
      <w:r>
        <w:rPr>
          <w:rFonts w:asciiTheme="minorHAnsi" w:hAnsiTheme="minorHAnsi" w:cstheme="minorHAnsi"/>
        </w:rPr>
        <w:t xml:space="preserve"> le contexte de la crise Covid. </w:t>
      </w:r>
    </w:p>
    <w:p w14:paraId="3F09FFBC" w14:textId="77777777" w:rsidR="00042B3A" w:rsidRDefault="00042B3A" w:rsidP="00042B3A">
      <w:pPr>
        <w:jc w:val="both"/>
        <w:rPr>
          <w:rFonts w:asciiTheme="minorHAnsi" w:hAnsiTheme="minorHAnsi" w:cstheme="minorHAnsi"/>
        </w:rPr>
      </w:pPr>
    </w:p>
    <w:p w14:paraId="3F09FFBD" w14:textId="420BFBA7" w:rsidR="00042B3A" w:rsidRDefault="00042B3A" w:rsidP="00042B3A">
      <w:pPr>
        <w:jc w:val="both"/>
        <w:rPr>
          <w:rFonts w:asciiTheme="minorHAnsi" w:hAnsiTheme="minorHAnsi" w:cstheme="minorHAnsi"/>
          <w:color w:val="000000"/>
        </w:rPr>
      </w:pPr>
      <w:r>
        <w:rPr>
          <w:rFonts w:asciiTheme="minorHAnsi" w:hAnsiTheme="minorHAnsi" w:cstheme="minorHAnsi"/>
          <w:color w:val="000000"/>
        </w:rPr>
        <w:t xml:space="preserve">Le </w:t>
      </w:r>
      <w:r w:rsidR="001877FA">
        <w:rPr>
          <w:rFonts w:asciiTheme="minorHAnsi" w:hAnsiTheme="minorHAnsi" w:cstheme="minorHAnsi"/>
        </w:rPr>
        <w:t>praticien de la réorganisation</w:t>
      </w:r>
      <w:r>
        <w:rPr>
          <w:rFonts w:asciiTheme="minorHAnsi" w:hAnsiTheme="minorHAnsi" w:cstheme="minorHAnsi"/>
          <w:color w:val="000000"/>
        </w:rPr>
        <w:t xml:space="preserve"> est désigné par le tribunal sur demande de l’entreprise. Il apporte son assistance pour faciliter la réorganisation des activités de l’entreprise ou la négociation d’accords amiables avec ses créanciers, qui peuvent ensuite être homologués par le tribunal. </w:t>
      </w:r>
    </w:p>
    <w:p w14:paraId="3F09FFBE" w14:textId="77777777" w:rsidR="00042B3A" w:rsidRDefault="00042B3A" w:rsidP="00042B3A">
      <w:pPr>
        <w:jc w:val="both"/>
        <w:rPr>
          <w:rFonts w:asciiTheme="minorHAnsi" w:hAnsiTheme="minorHAnsi" w:cstheme="minorHAnsi"/>
          <w:color w:val="000000"/>
        </w:rPr>
      </w:pPr>
    </w:p>
    <w:p w14:paraId="3F09FFBF" w14:textId="77777777" w:rsidR="00042B3A" w:rsidRDefault="00042B3A" w:rsidP="00042B3A">
      <w:pPr>
        <w:jc w:val="both"/>
        <w:rPr>
          <w:rFonts w:asciiTheme="minorHAnsi" w:hAnsiTheme="minorHAnsi" w:cstheme="minorHAnsi"/>
          <w:color w:val="000000"/>
        </w:rPr>
      </w:pPr>
      <w:r>
        <w:rPr>
          <w:rFonts w:asciiTheme="minorHAnsi" w:hAnsiTheme="minorHAnsi" w:cstheme="minorHAnsi"/>
          <w:color w:val="000000"/>
        </w:rPr>
        <w:t>Cela peut permettre d’éviter une procédure de réorganisation judiciaire ou de faillite à la fin du sursis général prévu par l’arrêté royal de pouvoirs spéciaux n°15 en matière d’insolvabilité.</w:t>
      </w:r>
    </w:p>
    <w:p w14:paraId="3F09FFC0" w14:textId="77777777" w:rsidR="00042B3A" w:rsidRDefault="00042B3A" w:rsidP="00042B3A">
      <w:pPr>
        <w:jc w:val="both"/>
        <w:rPr>
          <w:rFonts w:asciiTheme="minorHAnsi" w:hAnsiTheme="minorHAnsi" w:cstheme="minorHAnsi"/>
          <w:color w:val="000000"/>
        </w:rPr>
      </w:pPr>
    </w:p>
    <w:p w14:paraId="3F09FFC1" w14:textId="5156E911" w:rsidR="00042B3A" w:rsidRDefault="00042B3A" w:rsidP="00042B3A">
      <w:pPr>
        <w:jc w:val="both"/>
        <w:rPr>
          <w:rFonts w:asciiTheme="minorHAnsi" w:hAnsiTheme="minorHAnsi" w:cstheme="minorHAnsi"/>
          <w:color w:val="000000"/>
        </w:rPr>
      </w:pPr>
      <w:r>
        <w:rPr>
          <w:rFonts w:asciiTheme="minorHAnsi" w:hAnsiTheme="minorHAnsi" w:cstheme="minorHAnsi"/>
          <w:color w:val="000000"/>
        </w:rPr>
        <w:t xml:space="preserve">La requête en désignation d’un </w:t>
      </w:r>
      <w:r w:rsidR="005A6396">
        <w:rPr>
          <w:rFonts w:asciiTheme="minorHAnsi" w:hAnsiTheme="minorHAnsi" w:cstheme="minorHAnsi"/>
          <w:color w:val="000000"/>
        </w:rPr>
        <w:t>praticien de la réorganisation</w:t>
      </w:r>
      <w:r>
        <w:rPr>
          <w:rFonts w:asciiTheme="minorHAnsi" w:hAnsiTheme="minorHAnsi" w:cstheme="minorHAnsi"/>
          <w:color w:val="000000"/>
        </w:rPr>
        <w:t xml:space="preserve"> est gratuite. Le coût de l’intervention du </w:t>
      </w:r>
      <w:r w:rsidR="00C01134">
        <w:rPr>
          <w:rFonts w:asciiTheme="minorHAnsi" w:hAnsiTheme="minorHAnsi" w:cstheme="minorHAnsi"/>
          <w:color w:val="000000"/>
        </w:rPr>
        <w:t>praticien de la réorganisation</w:t>
      </w:r>
      <w:r>
        <w:rPr>
          <w:rFonts w:asciiTheme="minorHAnsi" w:hAnsiTheme="minorHAnsi" w:cstheme="minorHAnsi"/>
          <w:color w:val="000000"/>
        </w:rPr>
        <w:t xml:space="preserve"> est à déterminer avec lui. L’entreprise peut mettre fin à tout moment à la mission du </w:t>
      </w:r>
      <w:r w:rsidR="00C01134">
        <w:rPr>
          <w:rFonts w:asciiTheme="minorHAnsi" w:hAnsiTheme="minorHAnsi" w:cstheme="minorHAnsi"/>
          <w:color w:val="000000"/>
        </w:rPr>
        <w:t>praticien de la réorganisation</w:t>
      </w:r>
      <w:r>
        <w:rPr>
          <w:rFonts w:asciiTheme="minorHAnsi" w:hAnsiTheme="minorHAnsi" w:cstheme="minorHAnsi"/>
          <w:color w:val="000000"/>
        </w:rPr>
        <w:t>.</w:t>
      </w:r>
    </w:p>
    <w:p w14:paraId="3F09FFC2" w14:textId="77777777" w:rsidR="00E519DC" w:rsidRDefault="00E519DC" w:rsidP="00042B3A">
      <w:pPr>
        <w:jc w:val="both"/>
        <w:rPr>
          <w:rFonts w:asciiTheme="minorHAnsi" w:hAnsiTheme="minorHAnsi" w:cstheme="minorHAnsi"/>
          <w:color w:val="000000"/>
        </w:rPr>
      </w:pPr>
    </w:p>
    <w:p w14:paraId="3F09FFC3" w14:textId="77777777" w:rsidR="00E519DC" w:rsidRDefault="00E519DC" w:rsidP="00042B3A">
      <w:pPr>
        <w:jc w:val="both"/>
        <w:rPr>
          <w:rFonts w:asciiTheme="minorHAnsi" w:hAnsiTheme="minorHAnsi" w:cstheme="minorHAnsi"/>
          <w:color w:val="000000"/>
        </w:rPr>
      </w:pPr>
      <w:r>
        <w:rPr>
          <w:rFonts w:asciiTheme="minorHAnsi" w:hAnsiTheme="minorHAnsi" w:cstheme="minorHAnsi"/>
          <w:color w:val="000000"/>
        </w:rPr>
        <w:t>La requête peut être envoyée par courriel :</w:t>
      </w:r>
    </w:p>
    <w:p w14:paraId="3F09FFC4" w14:textId="77777777" w:rsidR="00E519DC" w:rsidRDefault="00E519DC" w:rsidP="00042B3A">
      <w:pPr>
        <w:jc w:val="both"/>
        <w:rPr>
          <w:rFonts w:asciiTheme="minorHAnsi" w:hAnsiTheme="minorHAnsi" w:cstheme="minorHAnsi"/>
          <w:color w:val="000000"/>
        </w:rPr>
      </w:pPr>
    </w:p>
    <w:p w14:paraId="3F09FFC5" w14:textId="77777777" w:rsidR="00E519DC" w:rsidRPr="00E519DC" w:rsidRDefault="00E519DC" w:rsidP="00E519DC">
      <w:pPr>
        <w:pStyle w:val="Paragraphedeliste"/>
        <w:numPr>
          <w:ilvl w:val="0"/>
          <w:numId w:val="6"/>
        </w:numPr>
        <w:jc w:val="both"/>
        <w:rPr>
          <w:rFonts w:asciiTheme="minorHAnsi" w:hAnsiTheme="minorHAnsi" w:cstheme="minorHAnsi"/>
          <w:color w:val="000000"/>
        </w:rPr>
      </w:pPr>
      <w:r w:rsidRPr="00E519DC">
        <w:rPr>
          <w:rFonts w:asciiTheme="minorHAnsi" w:hAnsiTheme="minorHAnsi" w:cstheme="minorHAnsi"/>
          <w:color w:val="000000"/>
        </w:rPr>
        <w:t>Pour la division de Charleroi :</w:t>
      </w:r>
      <w:r w:rsidRPr="00E519DC">
        <w:rPr>
          <w:rFonts w:asciiTheme="minorHAnsi" w:hAnsiTheme="minorHAnsi" w:cstheme="minorHAnsi"/>
          <w:color w:val="000000"/>
        </w:rPr>
        <w:tab/>
      </w:r>
      <w:hyperlink r:id="rId7" w:history="1">
        <w:r w:rsidRPr="00E519DC">
          <w:rPr>
            <w:rStyle w:val="Lienhypertexte"/>
            <w:rFonts w:asciiTheme="minorHAnsi" w:hAnsiTheme="minorHAnsi" w:cstheme="minorHAnsi"/>
          </w:rPr>
          <w:t>te.charleroi.ced</w:t>
        </w:r>
        <w:r w:rsidRPr="00E519DC">
          <w:rPr>
            <w:rStyle w:val="Lienhypertexte"/>
            <w:rFonts w:asciiTheme="minorHAnsi" w:hAnsiTheme="minorHAnsi" w:cstheme="minorHAnsi"/>
            <w:lang w:eastAsia="fr-BE"/>
          </w:rPr>
          <w:t>@just.fgov.be</w:t>
        </w:r>
      </w:hyperlink>
    </w:p>
    <w:p w14:paraId="3F09FFC6" w14:textId="77777777" w:rsidR="00E519DC" w:rsidRPr="00E519DC" w:rsidRDefault="00E519DC" w:rsidP="00E519DC">
      <w:pPr>
        <w:pStyle w:val="Paragraphedeliste"/>
        <w:numPr>
          <w:ilvl w:val="0"/>
          <w:numId w:val="6"/>
        </w:numPr>
        <w:jc w:val="both"/>
        <w:rPr>
          <w:rFonts w:asciiTheme="minorHAnsi" w:hAnsiTheme="minorHAnsi" w:cstheme="minorHAnsi"/>
          <w:color w:val="000000"/>
        </w:rPr>
      </w:pPr>
      <w:r w:rsidRPr="00E519DC">
        <w:rPr>
          <w:rFonts w:asciiTheme="minorHAnsi" w:hAnsiTheme="minorHAnsi" w:cstheme="minorHAnsi"/>
          <w:lang w:eastAsia="fr-BE"/>
        </w:rPr>
        <w:t xml:space="preserve">Pour la division de Mons : </w:t>
      </w:r>
      <w:r w:rsidRPr="00E519DC">
        <w:rPr>
          <w:rFonts w:asciiTheme="minorHAnsi" w:hAnsiTheme="minorHAnsi" w:cstheme="minorHAnsi"/>
          <w:lang w:eastAsia="fr-BE"/>
        </w:rPr>
        <w:tab/>
      </w:r>
      <w:hyperlink r:id="rId8" w:history="1">
        <w:r w:rsidRPr="00E519DC">
          <w:rPr>
            <w:rStyle w:val="Lienhypertexte"/>
            <w:rFonts w:asciiTheme="minorHAnsi" w:hAnsiTheme="minorHAnsi" w:cstheme="minorHAnsi"/>
            <w:lang w:eastAsia="fr-BE"/>
          </w:rPr>
          <w:t>te.mons.ced@just.fgov.be</w:t>
        </w:r>
      </w:hyperlink>
    </w:p>
    <w:p w14:paraId="3F09FFC7" w14:textId="77777777" w:rsidR="00E519DC" w:rsidRPr="00E519DC" w:rsidRDefault="00E519DC" w:rsidP="00E519DC">
      <w:pPr>
        <w:pStyle w:val="Paragraphedeliste"/>
        <w:numPr>
          <w:ilvl w:val="0"/>
          <w:numId w:val="6"/>
        </w:numPr>
        <w:jc w:val="both"/>
        <w:rPr>
          <w:rFonts w:asciiTheme="minorHAnsi" w:hAnsiTheme="minorHAnsi" w:cstheme="minorHAnsi"/>
          <w:color w:val="000000"/>
        </w:rPr>
      </w:pPr>
      <w:r w:rsidRPr="00E519DC">
        <w:rPr>
          <w:rFonts w:asciiTheme="minorHAnsi" w:hAnsiTheme="minorHAnsi" w:cstheme="minorHAnsi"/>
          <w:lang w:eastAsia="fr-BE"/>
        </w:rPr>
        <w:t>Pour la division de Tournai :</w:t>
      </w:r>
      <w:r w:rsidRPr="00E519DC">
        <w:rPr>
          <w:rFonts w:asciiTheme="minorHAnsi" w:hAnsiTheme="minorHAnsi" w:cstheme="minorHAnsi"/>
          <w:lang w:eastAsia="fr-BE"/>
        </w:rPr>
        <w:tab/>
      </w:r>
      <w:hyperlink r:id="rId9" w:history="1">
        <w:r w:rsidRPr="00A12AB8">
          <w:rPr>
            <w:rStyle w:val="Lienhypertexte"/>
            <w:rFonts w:asciiTheme="minorHAnsi" w:hAnsiTheme="minorHAnsi" w:cstheme="minorHAnsi"/>
            <w:lang w:eastAsia="fr-BE"/>
          </w:rPr>
          <w:t>te.tournai.ced@just.fgov.be</w:t>
        </w:r>
      </w:hyperlink>
    </w:p>
    <w:p w14:paraId="3F09FFC8" w14:textId="77777777" w:rsidR="00E519DC" w:rsidRDefault="00E519DC" w:rsidP="00E519DC">
      <w:pPr>
        <w:jc w:val="both"/>
        <w:rPr>
          <w:rFonts w:asciiTheme="minorHAnsi" w:hAnsiTheme="minorHAnsi" w:cstheme="minorHAnsi"/>
          <w:color w:val="000000"/>
        </w:rPr>
      </w:pPr>
    </w:p>
    <w:p w14:paraId="3F09FFC9" w14:textId="77777777" w:rsidR="00E519DC" w:rsidRDefault="00E519DC" w:rsidP="00E519DC">
      <w:pPr>
        <w:jc w:val="both"/>
        <w:rPr>
          <w:rFonts w:asciiTheme="minorHAnsi" w:hAnsiTheme="minorHAnsi" w:cstheme="minorHAnsi"/>
          <w:color w:val="000000"/>
        </w:rPr>
      </w:pPr>
      <w:r>
        <w:rPr>
          <w:rFonts w:asciiTheme="minorHAnsi" w:hAnsiTheme="minorHAnsi" w:cstheme="minorHAnsi"/>
          <w:color w:val="000000"/>
        </w:rPr>
        <w:t>Elle peut également être déposée dans la boîte aux lettres du tribunal, adressée par voi</w:t>
      </w:r>
      <w:r w:rsidR="002830BB">
        <w:rPr>
          <w:rFonts w:asciiTheme="minorHAnsi" w:hAnsiTheme="minorHAnsi" w:cstheme="minorHAnsi"/>
          <w:color w:val="000000"/>
        </w:rPr>
        <w:t>e</w:t>
      </w:r>
      <w:r>
        <w:rPr>
          <w:rFonts w:asciiTheme="minorHAnsi" w:hAnsiTheme="minorHAnsi" w:cstheme="minorHAnsi"/>
          <w:color w:val="000000"/>
        </w:rPr>
        <w:t xml:space="preserve"> postale, ou par fax, à l’attention du service des entreprises en difficultés, à l’adresse / au numéro mentionnés dans le coin inférieur du formulaire de demande de désignation.</w:t>
      </w:r>
    </w:p>
    <w:p w14:paraId="3F09FFCA" w14:textId="77777777" w:rsidR="00E519DC" w:rsidRPr="00E519DC" w:rsidRDefault="00E519DC" w:rsidP="00E519DC">
      <w:pPr>
        <w:jc w:val="both"/>
        <w:rPr>
          <w:rFonts w:asciiTheme="minorHAnsi" w:hAnsiTheme="minorHAnsi" w:cstheme="minorHAnsi"/>
          <w:color w:val="000000"/>
        </w:rPr>
      </w:pPr>
    </w:p>
    <w:p w14:paraId="3F09FFCB" w14:textId="77777777" w:rsidR="00570E26" w:rsidRPr="00570E26" w:rsidRDefault="00570E26" w:rsidP="00A913F6">
      <w:pPr>
        <w:ind w:right="94"/>
        <w:rPr>
          <w:rFonts w:ascii="Calibri" w:hAnsi="Calibri" w:cs="Calibri"/>
          <w:sz w:val="24"/>
          <w:szCs w:val="24"/>
        </w:rPr>
      </w:pPr>
    </w:p>
    <w:sectPr w:rsidR="00570E26" w:rsidRPr="00570E26" w:rsidSect="00A913F6">
      <w:headerReference w:type="default" r:id="rId10"/>
      <w:footnotePr>
        <w:pos w:val="beneathText"/>
      </w:footnotePr>
      <w:pgSz w:w="11905" w:h="16837"/>
      <w:pgMar w:top="1440" w:right="1440" w:bottom="1440" w:left="1440" w:header="96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09FFCE" w14:textId="77777777" w:rsidR="003539E8" w:rsidRDefault="003539E8">
      <w:r>
        <w:separator/>
      </w:r>
    </w:p>
  </w:endnote>
  <w:endnote w:type="continuationSeparator" w:id="0">
    <w:p w14:paraId="3F09FFCF" w14:textId="77777777" w:rsidR="003539E8" w:rsidRDefault="003539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bany AMT">
    <w:altName w:val="Arial"/>
    <w:charset w:val="00"/>
    <w:family w:val="swiss"/>
    <w:pitch w:val="variable"/>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09FFCC" w14:textId="77777777" w:rsidR="003539E8" w:rsidRDefault="003539E8">
      <w:r>
        <w:separator/>
      </w:r>
    </w:p>
  </w:footnote>
  <w:footnote w:type="continuationSeparator" w:id="0">
    <w:p w14:paraId="3F09FFCD" w14:textId="77777777" w:rsidR="003539E8" w:rsidRDefault="003539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09FFD0" w14:textId="77777777" w:rsidR="00D27EE2" w:rsidRPr="00570E26" w:rsidRDefault="00A913F6" w:rsidP="00570E26">
    <w:pPr>
      <w:rPr>
        <w:rFonts w:ascii="Calibri" w:eastAsia="Albany AMT" w:hAnsi="Calibri" w:cs="Calibri"/>
        <w:b/>
        <w:bCs/>
        <w:sz w:val="24"/>
        <w:szCs w:val="24"/>
      </w:rPr>
    </w:pPr>
    <w:r>
      <w:rPr>
        <w:noProof/>
        <w:lang w:val="fr-BE" w:eastAsia="fr-BE"/>
      </w:rPr>
      <w:drawing>
        <wp:anchor distT="0" distB="0" distL="114935" distR="114935" simplePos="0" relativeHeight="251657728" behindDoc="0" locked="0" layoutInCell="1" allowOverlap="1" wp14:anchorId="3F09FFD2" wp14:editId="3F09FFD3">
          <wp:simplePos x="0" y="0"/>
          <wp:positionH relativeFrom="page">
            <wp:posOffset>911225</wp:posOffset>
          </wp:positionH>
          <wp:positionV relativeFrom="paragraph">
            <wp:posOffset>-510540</wp:posOffset>
          </wp:positionV>
          <wp:extent cx="1889760" cy="824230"/>
          <wp:effectExtent l="0" t="0" r="0" b="0"/>
          <wp:wrapNone/>
          <wp:docPr id="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9760" cy="82423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D27EE2">
      <w:t xml:space="preserve">                                                     </w:t>
    </w:r>
    <w:r w:rsidR="00D27EE2">
      <w:tab/>
    </w:r>
    <w:r w:rsidR="00D27EE2" w:rsidRPr="00570E26">
      <w:rPr>
        <w:rFonts w:ascii="Calibri" w:eastAsia="Albany AMT" w:hAnsi="Calibri" w:cs="Calibri"/>
        <w:b/>
        <w:bCs/>
        <w:sz w:val="24"/>
        <w:szCs w:val="24"/>
      </w:rPr>
      <w:t>TRIBUNAL DE L’ENTREPRISE DU HAINAUT</w:t>
    </w:r>
  </w:p>
  <w:p w14:paraId="3F09FFD1" w14:textId="77777777" w:rsidR="00D27EE2" w:rsidRDefault="00D27EE2">
    <w:pPr>
      <w:pStyle w:val="En-tte"/>
    </w:pPr>
    <w: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809000B"/>
    <w:lvl w:ilvl="0">
      <w:start w:val="1"/>
      <w:numFmt w:val="bullet"/>
      <w:lvlText w:val=""/>
      <w:lvlJc w:val="left"/>
      <w:pPr>
        <w:ind w:left="360" w:hanging="360"/>
      </w:pPr>
      <w:rPr>
        <w:rFonts w:ascii="Wingdings" w:hAnsi="Wingdings" w:hint="default"/>
      </w:rPr>
    </w:lvl>
  </w:abstractNum>
  <w:abstractNum w:abstractNumId="1" w15:restartNumberingAfterBreak="0">
    <w:nsid w:val="00000002"/>
    <w:multiLevelType w:val="singleLevel"/>
    <w:tmpl w:val="0809000B"/>
    <w:lvl w:ilvl="0">
      <w:start w:val="1"/>
      <w:numFmt w:val="bullet"/>
      <w:lvlText w:val=""/>
      <w:lvlJc w:val="left"/>
      <w:pPr>
        <w:ind w:left="360" w:hanging="360"/>
      </w:pPr>
      <w:rPr>
        <w:rFonts w:ascii="Wingdings" w:hAnsi="Wingdings" w:hint="default"/>
        <w:sz w:val="20"/>
      </w:rPr>
    </w:lvl>
  </w:abstractNum>
  <w:abstractNum w:abstractNumId="2" w15:restartNumberingAfterBreak="0">
    <w:nsid w:val="00000003"/>
    <w:multiLevelType w:val="singleLevel"/>
    <w:tmpl w:val="00000003"/>
    <w:name w:val="WW8Num3"/>
    <w:lvl w:ilvl="0">
      <w:numFmt w:val="bullet"/>
      <w:lvlText w:val=""/>
      <w:lvlJc w:val="left"/>
      <w:pPr>
        <w:tabs>
          <w:tab w:val="num" w:pos="283"/>
        </w:tabs>
        <w:ind w:left="283" w:hanging="283"/>
      </w:pPr>
      <w:rPr>
        <w:rFonts w:ascii="Symbol" w:hAnsi="Symbol" w:cs="Times New Roman"/>
      </w:rPr>
    </w:lvl>
  </w:abstractNum>
  <w:abstractNum w:abstractNumId="3" w15:restartNumberingAfterBreak="0">
    <w:nsid w:val="00000004"/>
    <w:multiLevelType w:val="multilevel"/>
    <w:tmpl w:val="0000000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4" w15:restartNumberingAfterBreak="0">
    <w:nsid w:val="44AF2FD4"/>
    <w:multiLevelType w:val="hybridMultilevel"/>
    <w:tmpl w:val="ABC2B39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290A11"/>
    <w:multiLevelType w:val="hybridMultilevel"/>
    <w:tmpl w:val="FCAC096E"/>
    <w:lvl w:ilvl="0" w:tplc="B7604CB4">
      <w:start w:val="3"/>
      <w:numFmt w:val="bullet"/>
      <w:lvlText w:val="-"/>
      <w:lvlJc w:val="left"/>
      <w:pPr>
        <w:ind w:left="720" w:hanging="360"/>
      </w:pPr>
      <w:rPr>
        <w:rFonts w:ascii="Calibri" w:eastAsia="Times New Roman"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16cid:durableId="1624460126">
    <w:abstractNumId w:val="0"/>
  </w:num>
  <w:num w:numId="2" w16cid:durableId="260996253">
    <w:abstractNumId w:val="1"/>
  </w:num>
  <w:num w:numId="3" w16cid:durableId="1912304506">
    <w:abstractNumId w:val="2"/>
  </w:num>
  <w:num w:numId="4" w16cid:durableId="1384138810">
    <w:abstractNumId w:val="3"/>
  </w:num>
  <w:num w:numId="5" w16cid:durableId="1020548505">
    <w:abstractNumId w:val="4"/>
  </w:num>
  <w:num w:numId="6" w16cid:durableId="37808858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9"/>
  <w:displayBackgroundShape/>
  <w:proofState w:spelling="clean"/>
  <w:defaultTabStop w:val="72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6145"/>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BE9"/>
    <w:rsid w:val="00030A78"/>
    <w:rsid w:val="00042B3A"/>
    <w:rsid w:val="000C4837"/>
    <w:rsid w:val="00111FF7"/>
    <w:rsid w:val="00143595"/>
    <w:rsid w:val="001877FA"/>
    <w:rsid w:val="002830BB"/>
    <w:rsid w:val="003077A5"/>
    <w:rsid w:val="003539E8"/>
    <w:rsid w:val="004C0F53"/>
    <w:rsid w:val="004F12BB"/>
    <w:rsid w:val="00570E26"/>
    <w:rsid w:val="005A6396"/>
    <w:rsid w:val="00735B91"/>
    <w:rsid w:val="008C3049"/>
    <w:rsid w:val="008D7924"/>
    <w:rsid w:val="00904638"/>
    <w:rsid w:val="00A26E19"/>
    <w:rsid w:val="00A322EA"/>
    <w:rsid w:val="00A913F6"/>
    <w:rsid w:val="00C01134"/>
    <w:rsid w:val="00C57946"/>
    <w:rsid w:val="00D27EE2"/>
    <w:rsid w:val="00DA2B7E"/>
    <w:rsid w:val="00DA3838"/>
    <w:rsid w:val="00DB5790"/>
    <w:rsid w:val="00E2090D"/>
    <w:rsid w:val="00E519DC"/>
    <w:rsid w:val="00F42BE9"/>
    <w:rsid w:val="00F56E3B"/>
    <w:rsid w:val="00FD04AD"/>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F09FFBA"/>
  <w15:chartTrackingRefBased/>
  <w15:docId w15:val="{1FE0B3C5-6193-49A7-BE2A-7A2C6D746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2"/>
      <w:szCs w:val="26"/>
      <w:lang w:val="fr-FR" w:eastAsia="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rPr>
      <w:rFonts w:ascii="Symbol" w:hAnsi="Symbol" w:cs="Times New Roman"/>
    </w:rPr>
  </w:style>
  <w:style w:type="character" w:customStyle="1" w:styleId="WW8Num2z0">
    <w:name w:val="WW8Num2z0"/>
    <w:rPr>
      <w:rFonts w:ascii="Symbol" w:hAnsi="Symbol"/>
      <w:sz w:val="20"/>
    </w:rPr>
  </w:style>
  <w:style w:type="character" w:customStyle="1" w:styleId="WW8Num3z0">
    <w:name w:val="WW8Num3z0"/>
    <w:rPr>
      <w:rFonts w:ascii="Symbol" w:hAnsi="Symbol" w:cs="Times New Roman"/>
    </w:rPr>
  </w:style>
  <w:style w:type="character" w:customStyle="1" w:styleId="Policepardfaut1">
    <w:name w:val="Police par défaut1"/>
  </w:style>
  <w:style w:type="paragraph" w:customStyle="1" w:styleId="Titre1">
    <w:name w:val="Titre1"/>
    <w:basedOn w:val="Normal"/>
    <w:next w:val="Corpsdetexte"/>
    <w:pPr>
      <w:keepNext/>
      <w:spacing w:before="240" w:after="120"/>
    </w:pPr>
    <w:rPr>
      <w:rFonts w:ascii="Albany AMT" w:eastAsia="Albany AMT" w:hAnsi="Albany AMT" w:cs="Albany AMT"/>
      <w:sz w:val="28"/>
      <w:szCs w:val="28"/>
    </w:rPr>
  </w:style>
  <w:style w:type="paragraph" w:styleId="Corpsdetexte">
    <w:name w:val="Body Text"/>
    <w:basedOn w:val="Normal"/>
    <w:semiHidden/>
    <w:pPr>
      <w:spacing w:after="120"/>
    </w:pPr>
  </w:style>
  <w:style w:type="paragraph" w:styleId="Liste">
    <w:name w:val="List"/>
    <w:basedOn w:val="Corpsdetexte"/>
    <w:semiHidden/>
  </w:style>
  <w:style w:type="paragraph" w:customStyle="1" w:styleId="Lgende1">
    <w:name w:val="Légende1"/>
    <w:basedOn w:val="Normal"/>
    <w:pPr>
      <w:suppressLineNumbers/>
      <w:spacing w:before="120" w:after="120"/>
    </w:pPr>
    <w:rPr>
      <w:i/>
      <w:iCs/>
      <w:sz w:val="24"/>
      <w:szCs w:val="24"/>
    </w:rPr>
  </w:style>
  <w:style w:type="paragraph" w:customStyle="1" w:styleId="Rpertoire">
    <w:name w:val="Répertoire"/>
    <w:basedOn w:val="Normal"/>
    <w:pPr>
      <w:suppressLineNumbers/>
    </w:pPr>
  </w:style>
  <w:style w:type="paragraph" w:styleId="En-tte">
    <w:name w:val="header"/>
    <w:basedOn w:val="Normal"/>
    <w:semiHidden/>
    <w:pPr>
      <w:tabs>
        <w:tab w:val="center" w:pos="4536"/>
        <w:tab w:val="right" w:pos="9072"/>
      </w:tabs>
    </w:pPr>
    <w:rPr>
      <w:szCs w:val="20"/>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Pieddepage">
    <w:name w:val="footer"/>
    <w:basedOn w:val="Normal"/>
    <w:link w:val="PieddepageCar"/>
    <w:uiPriority w:val="99"/>
    <w:unhideWhenUsed/>
    <w:rsid w:val="00570E26"/>
    <w:pPr>
      <w:tabs>
        <w:tab w:val="center" w:pos="4513"/>
        <w:tab w:val="right" w:pos="9026"/>
      </w:tabs>
    </w:pPr>
  </w:style>
  <w:style w:type="character" w:customStyle="1" w:styleId="PieddepageCar">
    <w:name w:val="Pied de page Car"/>
    <w:link w:val="Pieddepage"/>
    <w:uiPriority w:val="99"/>
    <w:rsid w:val="00570E26"/>
    <w:rPr>
      <w:rFonts w:ascii="Arial" w:hAnsi="Arial" w:cs="Arial"/>
      <w:sz w:val="22"/>
      <w:szCs w:val="26"/>
      <w:lang w:val="fr-FR" w:eastAsia="ar-SA"/>
    </w:rPr>
  </w:style>
  <w:style w:type="paragraph" w:styleId="Textedebulles">
    <w:name w:val="Balloon Text"/>
    <w:basedOn w:val="Normal"/>
    <w:link w:val="TextedebullesCar"/>
    <w:uiPriority w:val="99"/>
    <w:semiHidden/>
    <w:unhideWhenUsed/>
    <w:rsid w:val="00D27EE2"/>
    <w:rPr>
      <w:rFonts w:ascii="Segoe UI" w:hAnsi="Segoe UI" w:cs="Segoe UI"/>
      <w:sz w:val="18"/>
      <w:szCs w:val="18"/>
    </w:rPr>
  </w:style>
  <w:style w:type="character" w:customStyle="1" w:styleId="TextedebullesCar">
    <w:name w:val="Texte de bulles Car"/>
    <w:link w:val="Textedebulles"/>
    <w:uiPriority w:val="99"/>
    <w:semiHidden/>
    <w:rsid w:val="00D27EE2"/>
    <w:rPr>
      <w:rFonts w:ascii="Segoe UI" w:hAnsi="Segoe UI" w:cs="Segoe UI"/>
      <w:sz w:val="18"/>
      <w:szCs w:val="18"/>
      <w:lang w:val="fr-FR" w:eastAsia="ar-SA"/>
    </w:rPr>
  </w:style>
  <w:style w:type="paragraph" w:styleId="Paragraphedeliste">
    <w:name w:val="List Paragraph"/>
    <w:basedOn w:val="Normal"/>
    <w:uiPriority w:val="34"/>
    <w:qFormat/>
    <w:rsid w:val="00E519DC"/>
    <w:pPr>
      <w:ind w:left="720"/>
      <w:contextualSpacing/>
    </w:pPr>
  </w:style>
  <w:style w:type="character" w:styleId="Lienhypertexte">
    <w:name w:val="Hyperlink"/>
    <w:basedOn w:val="Policepardfaut"/>
    <w:uiPriority w:val="99"/>
    <w:unhideWhenUsed/>
    <w:rsid w:val="00E519D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mons.ced@just.fgov.be" TargetMode="External"/><Relationship Id="rId3" Type="http://schemas.openxmlformats.org/officeDocument/2006/relationships/settings" Target="settings.xml"/><Relationship Id="rId7" Type="http://schemas.openxmlformats.org/officeDocument/2006/relationships/hyperlink" Target="mailto:te.charleroi.ced@just.fgov.b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te.tournai.ced@just.fgov.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6bdbe6-c28b-4509-9f60-3d65d4de0b77}" enabled="0" method="" siteId="{bb6bdbe6-c28b-4509-9f60-3d65d4de0b77}"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226</Words>
  <Characters>1293</Characters>
  <Application>Microsoft Office Word</Application>
  <DocSecurity>0</DocSecurity>
  <Lines>10</Lines>
  <Paragraphs>3</Paragraphs>
  <ScaleCrop>false</ScaleCrop>
  <HeadingPairs>
    <vt:vector size="2" baseType="variant">
      <vt:variant>
        <vt:lpstr>Titre</vt:lpstr>
      </vt:variant>
      <vt:variant>
        <vt:i4>1</vt:i4>
      </vt:variant>
    </vt:vector>
  </HeadingPairs>
  <TitlesOfParts>
    <vt:vector size="1" baseType="lpstr">
      <vt:lpstr>CHAMBRE D'ENQUETE COMMERCIALE</vt:lpstr>
    </vt:vector>
  </TitlesOfParts>
  <Company>FOD Justitie / SPF Justice</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CHAMBRE D'ENQUETE COMMERCIALE</dc:title>
  <dc:subject/>
  <dc:creator>lebeau</dc:creator>
  <cp:keywords/>
  <cp:lastModifiedBy>Gueret Sébastien</cp:lastModifiedBy>
  <cp:revision>2</cp:revision>
  <cp:lastPrinted>1899-12-31T23:00:00Z</cp:lastPrinted>
  <dcterms:created xsi:type="dcterms:W3CDTF">2023-12-08T14:39:00Z</dcterms:created>
  <dcterms:modified xsi:type="dcterms:W3CDTF">2023-12-08T14:39:00Z</dcterms:modified>
</cp:coreProperties>
</file>