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3B77"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lang w:val="en-US" w:eastAsia="en-US"/>
        </w:rPr>
        <w:drawing>
          <wp:anchor distT="0" distB="0" distL="114935" distR="114935" simplePos="0" relativeHeight="251658240" behindDoc="0" locked="0" layoutInCell="1" allowOverlap="1" wp14:anchorId="1FECF6AE" wp14:editId="60C02C8D">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D411500" w14:textId="77777777" w:rsidR="002E13EE" w:rsidRDefault="002E13EE" w:rsidP="002D50E6">
      <w:pPr>
        <w:pStyle w:val="Textebrut"/>
        <w:rPr>
          <w:rFonts w:asciiTheme="minorHAnsi" w:hAnsiTheme="minorHAnsi" w:cstheme="minorHAnsi"/>
          <w:b/>
          <w:sz w:val="32"/>
          <w:szCs w:val="32"/>
          <w:u w:val="single"/>
        </w:rPr>
      </w:pPr>
    </w:p>
    <w:p w14:paraId="44CF99DC" w14:textId="77777777" w:rsidR="002E13EE" w:rsidRDefault="002E13EE" w:rsidP="002D50E6">
      <w:pPr>
        <w:pStyle w:val="Textebrut"/>
        <w:rPr>
          <w:rFonts w:asciiTheme="minorHAnsi" w:hAnsiTheme="minorHAnsi" w:cstheme="minorHAnsi"/>
          <w:b/>
          <w:sz w:val="32"/>
          <w:szCs w:val="32"/>
          <w:u w:val="single"/>
        </w:rPr>
      </w:pPr>
    </w:p>
    <w:p w14:paraId="6B4E664F" w14:textId="77777777" w:rsidR="002E13EE" w:rsidRDefault="002E13EE" w:rsidP="002D50E6">
      <w:pPr>
        <w:pStyle w:val="Textebrut"/>
        <w:rPr>
          <w:rFonts w:asciiTheme="minorHAnsi" w:hAnsiTheme="minorHAnsi" w:cstheme="minorHAnsi"/>
          <w:b/>
          <w:sz w:val="32"/>
          <w:szCs w:val="32"/>
          <w:u w:val="single"/>
        </w:rPr>
      </w:pPr>
    </w:p>
    <w:p w14:paraId="39B7D94A"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3ECEE03C"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5D17B7A2"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71ECB430" w14:textId="77777777" w:rsidR="002D50E6" w:rsidRPr="0097037A" w:rsidRDefault="002D50E6" w:rsidP="00E90939">
            <w:pPr>
              <w:ind w:right="252"/>
              <w:rPr>
                <w:rFonts w:ascii="Calibri" w:hAnsi="Calibri"/>
                <w:sz w:val="16"/>
                <w:szCs w:val="16"/>
              </w:rPr>
            </w:pPr>
          </w:p>
          <w:p w14:paraId="20C99CAF" w14:textId="77777777" w:rsidR="002D50E6" w:rsidRPr="0097037A" w:rsidRDefault="005B7DC7" w:rsidP="00E90939">
            <w:pPr>
              <w:rPr>
                <w:rFonts w:ascii="Calibri" w:hAnsi="Calibri"/>
                <w:b/>
                <w:bCs/>
              </w:rPr>
            </w:pPr>
            <w:r>
              <w:rPr>
                <w:rFonts w:ascii="Calibri" w:hAnsi="Calibri"/>
                <w:b/>
                <w:bCs/>
              </w:rPr>
              <w:t>2022</w:t>
            </w:r>
            <w:r w:rsidR="002D50E6" w:rsidRPr="0097037A">
              <w:rPr>
                <w:rFonts w:ascii="Calibri" w:hAnsi="Calibri"/>
                <w:b/>
                <w:bCs/>
              </w:rPr>
              <w:t>/</w:t>
            </w:r>
          </w:p>
          <w:p w14:paraId="718CBA2A" w14:textId="77777777" w:rsidR="002D50E6" w:rsidRPr="0097037A" w:rsidRDefault="002D50E6" w:rsidP="00E90939">
            <w:pPr>
              <w:rPr>
                <w:rFonts w:ascii="Calibri" w:hAnsi="Calibri"/>
                <w:sz w:val="16"/>
                <w:szCs w:val="16"/>
              </w:rPr>
            </w:pPr>
          </w:p>
        </w:tc>
      </w:tr>
      <w:tr w:rsidR="002D50E6" w:rsidRPr="0063600A" w14:paraId="607D4EC9"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217D24C2"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58F7DA7A" w14:textId="77777777" w:rsidR="002D50E6" w:rsidRPr="0097037A" w:rsidRDefault="002D50E6" w:rsidP="00E90939">
            <w:pPr>
              <w:rPr>
                <w:rFonts w:ascii="Calibri" w:hAnsi="Calibri"/>
                <w:b/>
              </w:rPr>
            </w:pPr>
          </w:p>
          <w:p w14:paraId="37855668" w14:textId="77777777" w:rsidR="002D50E6" w:rsidRPr="0097037A" w:rsidRDefault="003C0129"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01-16T00:00:00Z">
                  <w:dateFormat w:val="dd/MM/yyyy"/>
                  <w:lid w:val="fr-BE"/>
                  <w:storeMappedDataAs w:val="dateTime"/>
                  <w:calendar w:val="gregorian"/>
                </w:date>
              </w:sdtPr>
              <w:sdtEndPr/>
              <w:sdtContent>
                <w:r w:rsidR="006A67FC">
                  <w:rPr>
                    <w:rFonts w:asciiTheme="minorHAnsi" w:hAnsiTheme="minorHAnsi" w:cstheme="minorHAnsi"/>
                    <w:b/>
                    <w:sz w:val="32"/>
                    <w:szCs w:val="32"/>
                    <w:u w:val="single"/>
                  </w:rPr>
                  <w:t>16/01/2023</w:t>
                </w:r>
              </w:sdtContent>
            </w:sdt>
            <w:r w:rsidR="00F30CB5" w:rsidRPr="0097037A">
              <w:rPr>
                <w:rFonts w:ascii="Calibri" w:hAnsi="Calibri"/>
                <w:b/>
              </w:rPr>
              <w:t xml:space="preserve"> </w:t>
            </w:r>
          </w:p>
          <w:p w14:paraId="1150B6B1" w14:textId="77777777" w:rsidR="002D50E6" w:rsidRPr="0097037A" w:rsidRDefault="002D50E6" w:rsidP="00E90939">
            <w:pPr>
              <w:rPr>
                <w:rFonts w:ascii="Calibri" w:hAnsi="Calibri"/>
                <w:sz w:val="16"/>
                <w:szCs w:val="16"/>
              </w:rPr>
            </w:pPr>
          </w:p>
        </w:tc>
      </w:tr>
      <w:tr w:rsidR="002D50E6" w:rsidRPr="0097037A" w14:paraId="7E2EFF75"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42444E7C"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5183C03D" w14:textId="77777777" w:rsidR="002D50E6" w:rsidRPr="004D4CC3" w:rsidRDefault="002D50E6" w:rsidP="00E90939">
            <w:pPr>
              <w:ind w:right="252"/>
              <w:rPr>
                <w:rFonts w:ascii="Calibri" w:hAnsi="Calibri"/>
                <w:sz w:val="18"/>
                <w:szCs w:val="18"/>
              </w:rPr>
            </w:pPr>
          </w:p>
          <w:p w14:paraId="4672D228" w14:textId="77777777" w:rsidR="002D50E6" w:rsidRPr="004D4CC3" w:rsidRDefault="002D50E6" w:rsidP="00E90939">
            <w:pPr>
              <w:rPr>
                <w:rFonts w:ascii="Calibri" w:hAnsi="Calibri"/>
                <w:b/>
                <w:sz w:val="20"/>
                <w:szCs w:val="20"/>
              </w:rPr>
            </w:pPr>
            <w:r w:rsidRPr="003C0129">
              <w:rPr>
                <w:rFonts w:ascii="Calibri" w:hAnsi="Calibri" w:cs="Calibri"/>
                <w:b/>
                <w:bCs/>
                <w:szCs w:val="22"/>
              </w:rPr>
              <w:t>R.G. : 14/ 428628/ A</w:t>
            </w:r>
            <w:r w:rsidRPr="004D4CC3">
              <w:rPr>
                <w:rFonts w:ascii="Calibri" w:hAnsi="Calibri"/>
                <w:b/>
                <w:sz w:val="20"/>
                <w:szCs w:val="20"/>
              </w:rPr>
              <w:t xml:space="preserve"> </w:t>
            </w:r>
          </w:p>
          <w:p w14:paraId="3DF514E2" w14:textId="77777777" w:rsidR="002D50E6" w:rsidRPr="0097037A" w:rsidRDefault="002D50E6" w:rsidP="00E90939">
            <w:pPr>
              <w:rPr>
                <w:rFonts w:ascii="Calibri" w:hAnsi="Calibri"/>
                <w:sz w:val="16"/>
                <w:szCs w:val="16"/>
              </w:rPr>
            </w:pPr>
          </w:p>
        </w:tc>
      </w:tr>
    </w:tbl>
    <w:p w14:paraId="6C0B3824"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3726916E" w14:textId="77777777" w:rsidTr="00BB2F46">
        <w:trPr>
          <w:trHeight w:val="4428"/>
        </w:trPr>
        <w:tc>
          <w:tcPr>
            <w:tcW w:w="5544" w:type="dxa"/>
          </w:tcPr>
          <w:p w14:paraId="0575BB09"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6B39D725"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109508C9" w14:textId="77777777" w:rsidR="00BB2F46" w:rsidRPr="0097037A" w:rsidRDefault="00BB2F46" w:rsidP="003C0129">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07EC98E"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5B0731D0"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3E0EE19D"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5BF210D6"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707CC28C"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7D4068C5"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B004DC5"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45B45050" w14:textId="77777777" w:rsidR="00BB2F46" w:rsidRPr="0097037A" w:rsidRDefault="00BB2F46" w:rsidP="003C0129">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3179ED6C" w14:textId="77777777" w:rsidR="00BB2F46" w:rsidRPr="0097037A" w:rsidRDefault="00BB2F46" w:rsidP="003C0129">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2D961257"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714A5FBB"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4D4777C1"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49C9F377"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638DF997"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58ACFC22"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7F517BDD"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7409D37B" w14:textId="77777777" w:rsidR="00BB2F46" w:rsidRPr="0097037A" w:rsidRDefault="00BB2F46" w:rsidP="003C0129">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3802FBD0" w14:textId="77777777" w:rsidR="00BB2F46" w:rsidRPr="0097037A" w:rsidRDefault="00BB2F46" w:rsidP="003C0129">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65832437"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73114105"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77F8645C"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0F2F0DE4"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1B34B008"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p>
                <w:p w14:paraId="4F51F254"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15CA6F0A" w14:textId="77777777" w:rsidR="00BB2F46" w:rsidRPr="0097037A" w:rsidRDefault="00BB2F46" w:rsidP="003C0129">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1212830A" w14:textId="77777777" w:rsidR="00BB2F46" w:rsidRPr="0097037A" w:rsidRDefault="00BB2F46" w:rsidP="003C0129">
                  <w:pPr>
                    <w:framePr w:hSpace="141" w:wrap="around" w:vAnchor="text" w:hAnchor="text" w:x="3205" w:y="-3719"/>
                    <w:rPr>
                      <w:rFonts w:ascii="Calibri" w:eastAsia="SimSun" w:hAnsi="Calibri" w:cs="Times New Roman"/>
                      <w:color w:val="808080"/>
                      <w:sz w:val="8"/>
                      <w:szCs w:val="8"/>
                    </w:rPr>
                  </w:pPr>
                </w:p>
              </w:tc>
            </w:tr>
          </w:tbl>
          <w:p w14:paraId="24FF8F58" w14:textId="77777777" w:rsidR="00BB2F46" w:rsidRDefault="00BB2F46" w:rsidP="00BB2F46"/>
          <w:p w14:paraId="7B2AE1D5" w14:textId="77777777" w:rsidR="00BB2F46" w:rsidRDefault="00BB2F46" w:rsidP="00BB2F46"/>
        </w:tc>
      </w:tr>
    </w:tbl>
    <w:p w14:paraId="5DA5F5E9" w14:textId="77777777" w:rsidR="002D50E6" w:rsidRPr="0097037A" w:rsidRDefault="002D50E6" w:rsidP="002D50E6"/>
    <w:p w14:paraId="42D7DA64"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640C5F98" w14:textId="77777777" w:rsidTr="00E90939">
        <w:tc>
          <w:tcPr>
            <w:tcW w:w="389" w:type="dxa"/>
            <w:vAlign w:val="center"/>
          </w:tcPr>
          <w:p w14:paraId="6DE1F3A2"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104C8EBB"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49BC24E2"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71FEF9A2" w14:textId="77777777" w:rsidTr="002E13EE">
        <w:trPr>
          <w:gridBefore w:val="2"/>
          <w:wBefore w:w="3768" w:type="dxa"/>
          <w:trHeight w:val="5155"/>
        </w:trPr>
        <w:tc>
          <w:tcPr>
            <w:tcW w:w="5460" w:type="dxa"/>
          </w:tcPr>
          <w:p w14:paraId="51DFC3B3"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10637C74" w14:textId="77777777" w:rsidR="00BB2F46" w:rsidRPr="0097037A" w:rsidRDefault="00BB2F46" w:rsidP="00BB2F46">
            <w:pPr>
              <w:pStyle w:val="Plattetekstinspringen2"/>
              <w:ind w:left="0"/>
              <w:rPr>
                <w:rFonts w:ascii="Calibri" w:hAnsi="Calibri"/>
                <w:b/>
                <w:sz w:val="36"/>
                <w:szCs w:val="36"/>
                <w:lang w:val="fr-BE"/>
              </w:rPr>
            </w:pPr>
          </w:p>
          <w:p w14:paraId="53AA1A1F"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3FB90901" w14:textId="77777777" w:rsidR="00BB2F46" w:rsidRPr="0097037A" w:rsidRDefault="00BB2F46" w:rsidP="00BB2F46">
            <w:pPr>
              <w:rPr>
                <w:rFonts w:ascii="Calibri" w:hAnsi="Calibri"/>
                <w:sz w:val="36"/>
                <w:szCs w:val="36"/>
              </w:rPr>
            </w:pPr>
          </w:p>
          <w:p w14:paraId="389B3ADD" w14:textId="77777777"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Quatrième chambre</w:t>
            </w:r>
          </w:p>
          <w:p w14:paraId="362DFF69" w14:textId="77777777" w:rsidR="00BB2F46" w:rsidRDefault="00BB2F46" w:rsidP="00BB2F46">
            <w:pPr>
              <w:rPr>
                <w:rFonts w:ascii="Calibri" w:hAnsi="Calibri"/>
                <w:sz w:val="36"/>
                <w:szCs w:val="36"/>
                <w:lang w:val="nl-NL"/>
              </w:rPr>
            </w:pPr>
          </w:p>
          <w:p w14:paraId="1DAC31CB" w14:textId="77777777" w:rsidR="00BB2F46" w:rsidRDefault="00BB2F46" w:rsidP="002D50E6">
            <w:pPr>
              <w:pStyle w:val="Textebrut"/>
              <w:rPr>
                <w:rFonts w:asciiTheme="minorHAnsi" w:hAnsiTheme="minorHAnsi" w:cstheme="minorHAnsi"/>
                <w:b/>
                <w:sz w:val="32"/>
                <w:szCs w:val="32"/>
                <w:u w:val="single"/>
              </w:rPr>
            </w:pPr>
          </w:p>
        </w:tc>
      </w:tr>
      <w:tr w:rsidR="00BB2F46" w14:paraId="660E54E1" w14:textId="77777777" w:rsidTr="00BB2F46">
        <w:trPr>
          <w:gridAfter w:val="2"/>
          <w:wAfter w:w="5820" w:type="dxa"/>
          <w:trHeight w:val="936"/>
        </w:trPr>
        <w:tc>
          <w:tcPr>
            <w:tcW w:w="3408" w:type="dxa"/>
          </w:tcPr>
          <w:p w14:paraId="5DBBA13A"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02252523" w14:textId="77777777" w:rsidR="00BB2F46" w:rsidRDefault="00BB2F46" w:rsidP="00BB2F46">
            <w:pPr>
              <w:pStyle w:val="Textebrut"/>
              <w:ind w:left="600"/>
              <w:rPr>
                <w:rFonts w:asciiTheme="minorHAnsi" w:hAnsiTheme="minorHAnsi" w:cstheme="minorHAnsi"/>
                <w:b/>
                <w:sz w:val="32"/>
                <w:szCs w:val="32"/>
                <w:u w:val="single"/>
              </w:rPr>
            </w:pPr>
          </w:p>
        </w:tc>
      </w:tr>
      <w:tr w:rsidR="00BB2F46" w14:paraId="2CD91521" w14:textId="77777777" w:rsidTr="00BB2F46">
        <w:trPr>
          <w:gridAfter w:val="2"/>
          <w:wAfter w:w="5820" w:type="dxa"/>
          <w:trHeight w:val="936"/>
        </w:trPr>
        <w:tc>
          <w:tcPr>
            <w:tcW w:w="3408" w:type="dxa"/>
          </w:tcPr>
          <w:p w14:paraId="4EDB192D"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4661B13C" w14:textId="77777777" w:rsidR="00BB2F46" w:rsidRPr="0097037A" w:rsidRDefault="00BB2F46" w:rsidP="00BB2F46">
            <w:pPr>
              <w:snapToGrid w:val="0"/>
              <w:ind w:right="252"/>
              <w:rPr>
                <w:rFonts w:ascii="Calibri" w:hAnsi="Calibri"/>
                <w:sz w:val="18"/>
              </w:rPr>
            </w:pPr>
          </w:p>
        </w:tc>
      </w:tr>
    </w:tbl>
    <w:p w14:paraId="1F0C4DA9" w14:textId="77777777" w:rsidR="00BB2F46" w:rsidRPr="008A5ACB" w:rsidRDefault="00BB2F46" w:rsidP="00BB2F46">
      <w:pPr>
        <w:pStyle w:val="Textebrut"/>
        <w:rPr>
          <w:rFonts w:asciiTheme="minorHAnsi" w:hAnsiTheme="minorHAnsi" w:cstheme="minorHAnsi"/>
          <w:b/>
          <w:sz w:val="32"/>
          <w:szCs w:val="32"/>
          <w:u w:val="single"/>
        </w:rPr>
      </w:pPr>
    </w:p>
    <w:p w14:paraId="360C087D" w14:textId="77777777" w:rsidR="00AF4830" w:rsidRDefault="00AF4830" w:rsidP="00AF4830">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06AE70D1" w14:textId="77777777" w:rsidR="00ED1C59" w:rsidRPr="00074713" w:rsidRDefault="00ED1C59" w:rsidP="00ED1C59">
      <w:pPr>
        <w:rPr>
          <w:rFonts w:asciiTheme="minorHAnsi" w:hAnsiTheme="minorHAnsi" w:cstheme="minorHAnsi"/>
          <w:b/>
          <w:bCs/>
          <w:color w:val="000000" w:themeColor="text1"/>
          <w:lang w:bidi="fr-BE"/>
        </w:rPr>
      </w:pPr>
      <w:r w:rsidRPr="00074713">
        <w:rPr>
          <w:rFonts w:asciiTheme="minorHAnsi" w:hAnsiTheme="minorHAnsi" w:cstheme="minorHAnsi"/>
          <w:b/>
          <w:bCs/>
          <w:color w:val="000000" w:themeColor="text1"/>
          <w:u w:val="single"/>
          <w:lang w:val="fr-FR" w:bidi="fr-BE"/>
        </w:rPr>
        <w:lastRenderedPageBreak/>
        <w:t>En cause</w:t>
      </w:r>
      <w:r w:rsidRPr="00074713">
        <w:rPr>
          <w:rFonts w:asciiTheme="minorHAnsi" w:hAnsiTheme="minorHAnsi" w:cstheme="minorHAnsi"/>
          <w:b/>
          <w:bCs/>
          <w:color w:val="000000" w:themeColor="text1"/>
          <w:lang w:val="fr-FR" w:bidi="fr-BE"/>
        </w:rPr>
        <w:t xml:space="preserve"> </w:t>
      </w:r>
      <w:r w:rsidRPr="00074713">
        <w:rPr>
          <w:rFonts w:asciiTheme="minorHAnsi" w:hAnsiTheme="minorHAnsi" w:cstheme="minorHAnsi"/>
          <w:b/>
          <w:bCs/>
          <w:color w:val="000000" w:themeColor="text1"/>
          <w:lang w:bidi="fr-BE"/>
        </w:rPr>
        <w:t>:</w:t>
      </w:r>
    </w:p>
    <w:p w14:paraId="6D2AA763" w14:textId="77777777" w:rsidR="00ED1C59" w:rsidRPr="00074713" w:rsidRDefault="00ED1C59" w:rsidP="00ED1C59">
      <w:pPr>
        <w:rPr>
          <w:rFonts w:asciiTheme="minorHAnsi" w:hAnsiTheme="minorHAnsi" w:cstheme="minorHAnsi"/>
          <w:color w:val="000000" w:themeColor="text1"/>
          <w:lang w:bidi="fr-BE"/>
        </w:rPr>
      </w:pPr>
      <w:r w:rsidRPr="00074713">
        <w:rPr>
          <w:rFonts w:asciiTheme="minorHAnsi" w:hAnsiTheme="minorHAnsi" w:cstheme="minorHAnsi"/>
          <w:b/>
          <w:bCs/>
          <w:color w:val="000000" w:themeColor="text1"/>
          <w:lang w:bidi="fr-BE"/>
        </w:rPr>
        <w:t xml:space="preserve"> </w:t>
      </w:r>
    </w:p>
    <w:p w14:paraId="18647A47" w14:textId="0D0327F2" w:rsidR="00ED1C59" w:rsidRPr="00074713" w:rsidRDefault="00ED1C59" w:rsidP="00ED1C59">
      <w:pPr>
        <w:widowControl/>
        <w:ind w:left="1365"/>
        <w:rPr>
          <w:rFonts w:asciiTheme="minorHAnsi" w:eastAsia="Arial" w:hAnsiTheme="minorHAnsi" w:cstheme="minorHAnsi"/>
          <w:lang w:bidi="fr-BE"/>
        </w:rPr>
      </w:pPr>
      <w:bookmarkStart w:id="2" w:name="demandeur"/>
      <w:r w:rsidRPr="00074713">
        <w:rPr>
          <w:rFonts w:asciiTheme="minorHAnsi" w:eastAsia="Arial" w:hAnsiTheme="minorHAnsi" w:cstheme="minorHAnsi"/>
          <w:b/>
          <w:bCs/>
          <w:color w:val="000000" w:themeColor="text1"/>
          <w:lang w:bidi="fr-BE"/>
        </w:rPr>
        <w:t xml:space="preserve"> </w:t>
      </w:r>
      <w:r w:rsidR="003C0129">
        <w:rPr>
          <w:rFonts w:asciiTheme="minorHAnsi" w:eastAsia="Arial" w:hAnsiTheme="minorHAnsi" w:cstheme="minorHAnsi"/>
          <w:b/>
          <w:bCs/>
          <w:color w:val="000000" w:themeColor="text1"/>
          <w:lang w:bidi="fr-BE"/>
        </w:rPr>
        <w:t>D</w:t>
      </w:r>
      <w:r w:rsidRPr="00074713">
        <w:rPr>
          <w:rFonts w:asciiTheme="minorHAnsi" w:eastAsia="Arial" w:hAnsiTheme="minorHAnsi" w:cstheme="minorHAnsi"/>
          <w:b/>
          <w:bCs/>
          <w:color w:val="000000" w:themeColor="text1"/>
          <w:lang w:bidi="fr-BE"/>
        </w:rPr>
        <w:t xml:space="preserve"> , </w:t>
      </w:r>
      <w:r w:rsidRPr="00074713">
        <w:rPr>
          <w:rFonts w:asciiTheme="minorHAnsi" w:eastAsia="Arial" w:hAnsiTheme="minorHAnsi" w:cstheme="minorHAnsi"/>
          <w:color w:val="000000" w:themeColor="text1"/>
          <w:lang w:bidi="fr-BE"/>
        </w:rPr>
        <w:t>née le …….</w:t>
      </w:r>
    </w:p>
    <w:p w14:paraId="61B3AC44" w14:textId="735DEDA0" w:rsidR="00ED1C59" w:rsidRPr="00074713" w:rsidRDefault="00ED1C59" w:rsidP="00ED1C59">
      <w:pPr>
        <w:widowControl/>
        <w:ind w:left="1365"/>
        <w:rPr>
          <w:rFonts w:asciiTheme="minorHAnsi" w:eastAsia="Arial" w:hAnsiTheme="minorHAnsi" w:cstheme="minorHAnsi"/>
          <w:color w:val="000000" w:themeColor="text1"/>
          <w:lang w:bidi="fr-BE"/>
        </w:rPr>
      </w:pPr>
      <w:r w:rsidRPr="00074713">
        <w:rPr>
          <w:rFonts w:asciiTheme="minorHAnsi" w:eastAsia="Arial" w:hAnsiTheme="minorHAnsi" w:cstheme="minorHAnsi"/>
          <w:color w:val="000000" w:themeColor="text1"/>
          <w:lang w:bidi="fr-BE"/>
        </w:rPr>
        <w:t xml:space="preserve">Domiciliée </w:t>
      </w:r>
      <w:r w:rsidR="003C0129">
        <w:rPr>
          <w:rFonts w:asciiTheme="minorHAnsi" w:eastAsia="Arial" w:hAnsiTheme="minorHAnsi" w:cstheme="minorHAnsi"/>
          <w:color w:val="000000" w:themeColor="text1"/>
          <w:lang w:bidi="fr-BE"/>
        </w:rPr>
        <w:t>…..</w:t>
      </w:r>
    </w:p>
    <w:p w14:paraId="44E48891" w14:textId="77777777" w:rsidR="00ED1C59" w:rsidRPr="00074713" w:rsidRDefault="00ED1C59" w:rsidP="00ED1C59">
      <w:pPr>
        <w:widowControl/>
        <w:ind w:left="1365"/>
        <w:rPr>
          <w:rFonts w:asciiTheme="minorHAnsi" w:eastAsia="Arial" w:hAnsiTheme="minorHAnsi" w:cstheme="minorHAnsi"/>
          <w:color w:val="000000" w:themeColor="text1"/>
          <w:lang w:bidi="fr-BE"/>
        </w:rPr>
      </w:pPr>
      <w:r w:rsidRPr="00074713">
        <w:rPr>
          <w:rFonts w:asciiTheme="minorHAnsi" w:eastAsia="Arial" w:hAnsiTheme="minorHAnsi" w:cstheme="minorHAnsi"/>
          <w:color w:val="000000" w:themeColor="text1"/>
          <w:lang w:bidi="fr-BE"/>
        </w:rPr>
        <w:t xml:space="preserve"> </w:t>
      </w:r>
    </w:p>
    <w:p w14:paraId="0E57F0AE" w14:textId="77777777" w:rsidR="00ED1C59" w:rsidRPr="00074713" w:rsidRDefault="00ED1C59" w:rsidP="00ED1C59">
      <w:pPr>
        <w:widowControl/>
        <w:ind w:left="1365"/>
        <w:rPr>
          <w:rFonts w:asciiTheme="minorHAnsi" w:eastAsia="Arial" w:hAnsiTheme="minorHAnsi" w:cstheme="minorHAnsi"/>
          <w:lang w:bidi="fr-BE"/>
        </w:rPr>
      </w:pPr>
      <w:r w:rsidRPr="00074713">
        <w:rPr>
          <w:rFonts w:asciiTheme="minorHAnsi" w:eastAsia="Arial" w:hAnsiTheme="minorHAnsi" w:cstheme="minorHAnsi"/>
          <w:u w:val="single"/>
          <w:lang w:bidi="fr-BE"/>
        </w:rPr>
        <w:t>Partie demanderesse</w:t>
      </w:r>
      <w:r w:rsidRPr="00074713">
        <w:rPr>
          <w:rFonts w:asciiTheme="minorHAnsi" w:eastAsia="Arial" w:hAnsiTheme="minorHAnsi" w:cstheme="minorHAnsi"/>
          <w:lang w:bidi="fr-BE"/>
        </w:rPr>
        <w:t xml:space="preserve">, comparaissant personnellement et assistée par son conseil, Me </w:t>
      </w:r>
      <w:bookmarkStart w:id="3" w:name="demavoc"/>
      <w:r w:rsidRPr="00074713">
        <w:rPr>
          <w:rFonts w:asciiTheme="minorHAnsi" w:eastAsia="Arial" w:hAnsiTheme="minorHAnsi" w:cstheme="minorHAnsi"/>
          <w:lang w:bidi="fr-BE"/>
        </w:rPr>
        <w:t xml:space="preserve">VANDERWECKENE MARC, avocat, à 4000  LIEGE, Place de </w:t>
      </w:r>
      <w:proofErr w:type="spellStart"/>
      <w:r w:rsidRPr="00074713">
        <w:rPr>
          <w:rFonts w:asciiTheme="minorHAnsi" w:eastAsia="Arial" w:hAnsiTheme="minorHAnsi" w:cstheme="minorHAnsi"/>
          <w:lang w:bidi="fr-BE"/>
        </w:rPr>
        <w:t>Bronckart</w:t>
      </w:r>
      <w:proofErr w:type="spellEnd"/>
      <w:r w:rsidRPr="00074713">
        <w:rPr>
          <w:rFonts w:asciiTheme="minorHAnsi" w:eastAsia="Arial" w:hAnsiTheme="minorHAnsi" w:cstheme="minorHAnsi"/>
          <w:lang w:bidi="fr-BE"/>
        </w:rPr>
        <w:t xml:space="preserve">, 1, </w:t>
      </w:r>
    </w:p>
    <w:p w14:paraId="5EB8FA0F" w14:textId="77777777" w:rsidR="00ED1C59" w:rsidRPr="00074713" w:rsidRDefault="00ED1C59" w:rsidP="00ED1C59">
      <w:pPr>
        <w:widowControl/>
        <w:ind w:left="1365"/>
        <w:rPr>
          <w:rFonts w:asciiTheme="minorHAnsi" w:eastAsia="Arial" w:hAnsiTheme="minorHAnsi" w:cstheme="minorHAnsi"/>
          <w:lang w:bidi="fr-BE"/>
        </w:rPr>
      </w:pPr>
    </w:p>
    <w:bookmarkEnd w:id="2"/>
    <w:bookmarkEnd w:id="3"/>
    <w:p w14:paraId="795DE9C9" w14:textId="77777777" w:rsidR="00ED1C59" w:rsidRPr="00074713" w:rsidRDefault="00ED1C59" w:rsidP="00ED1C59">
      <w:pPr>
        <w:widowControl/>
        <w:jc w:val="both"/>
        <w:rPr>
          <w:rFonts w:asciiTheme="minorHAnsi" w:eastAsia="Arial" w:hAnsiTheme="minorHAnsi" w:cstheme="minorHAnsi"/>
          <w:b/>
          <w:color w:val="000000" w:themeColor="text1"/>
          <w:u w:val="single"/>
          <w:lang w:bidi="fr-BE"/>
        </w:rPr>
      </w:pPr>
      <w:r w:rsidRPr="00074713">
        <w:rPr>
          <w:rFonts w:asciiTheme="minorHAnsi" w:eastAsia="Arial" w:hAnsiTheme="minorHAnsi" w:cstheme="minorHAnsi"/>
          <w:b/>
          <w:color w:val="000000" w:themeColor="text1"/>
          <w:u w:val="single"/>
          <w:lang w:bidi="fr-BE"/>
        </w:rPr>
        <w:t>Contre :</w:t>
      </w:r>
    </w:p>
    <w:p w14:paraId="22DECA25" w14:textId="77777777" w:rsidR="00ED1C59" w:rsidRPr="00074713" w:rsidRDefault="00ED1C59" w:rsidP="00ED1C59">
      <w:pPr>
        <w:widowControl/>
        <w:jc w:val="both"/>
        <w:rPr>
          <w:rFonts w:asciiTheme="minorHAnsi" w:eastAsia="Arial" w:hAnsiTheme="minorHAnsi" w:cstheme="minorHAnsi"/>
          <w:b/>
          <w:color w:val="000000" w:themeColor="text1"/>
          <w:u w:val="single"/>
          <w:lang w:bidi="fr-BE"/>
        </w:rPr>
      </w:pPr>
    </w:p>
    <w:p w14:paraId="57FDA650" w14:textId="77777777" w:rsidR="00ED1C59" w:rsidRPr="00074713" w:rsidRDefault="00ED1C59" w:rsidP="00ED1C59">
      <w:pPr>
        <w:widowControl/>
        <w:ind w:left="1418"/>
        <w:jc w:val="both"/>
        <w:rPr>
          <w:rFonts w:asciiTheme="minorHAnsi" w:eastAsia="Arial" w:hAnsiTheme="minorHAnsi" w:cstheme="minorHAnsi"/>
          <w:color w:val="000000" w:themeColor="text1"/>
          <w:lang w:bidi="fr-BE"/>
        </w:rPr>
      </w:pPr>
      <w:r w:rsidRPr="00074713">
        <w:rPr>
          <w:rFonts w:asciiTheme="minorHAnsi" w:eastAsia="Arial" w:hAnsiTheme="minorHAnsi" w:cstheme="minorHAnsi"/>
          <w:b/>
          <w:bCs/>
          <w:color w:val="000000" w:themeColor="text1"/>
          <w:lang w:bidi="fr-BE"/>
        </w:rPr>
        <w:t xml:space="preserve"> C.H.U.</w:t>
      </w:r>
      <w:r w:rsidRPr="00074713">
        <w:rPr>
          <w:rFonts w:asciiTheme="minorHAnsi" w:eastAsia="Arial" w:hAnsiTheme="minorHAnsi" w:cstheme="minorHAnsi"/>
          <w:lang w:val="fr-FR" w:bidi="fr-BE"/>
        </w:rPr>
        <w:t>,</w:t>
      </w:r>
      <w:r w:rsidRPr="00074713">
        <w:rPr>
          <w:rFonts w:asciiTheme="minorHAnsi" w:eastAsia="Arial" w:hAnsiTheme="minorHAnsi" w:cstheme="minorHAnsi"/>
          <w:color w:val="0000FF"/>
          <w:lang w:val="fr-FR" w:bidi="fr-BE"/>
        </w:rPr>
        <w:t xml:space="preserve"> </w:t>
      </w:r>
      <w:r w:rsidRPr="00074713">
        <w:rPr>
          <w:rFonts w:asciiTheme="minorHAnsi" w:eastAsia="Arial" w:hAnsiTheme="minorHAnsi" w:cstheme="minorHAnsi"/>
          <w:bCs/>
          <w:color w:val="000000" w:themeColor="text1"/>
          <w:lang w:bidi="fr-BE"/>
        </w:rPr>
        <w:t>……………..</w:t>
      </w:r>
    </w:p>
    <w:p w14:paraId="38E21FBB" w14:textId="77777777" w:rsidR="00ED1C59" w:rsidRPr="00074713" w:rsidRDefault="00ED1C59" w:rsidP="00ED1C59">
      <w:pPr>
        <w:widowControl/>
        <w:ind w:left="1418"/>
        <w:rPr>
          <w:rFonts w:asciiTheme="minorHAnsi" w:eastAsia="Arial" w:hAnsiTheme="minorHAnsi" w:cstheme="minorHAnsi"/>
          <w:color w:val="000000" w:themeColor="text1"/>
          <w:lang w:bidi="fr-BE"/>
        </w:rPr>
      </w:pPr>
      <w:r w:rsidRPr="00074713">
        <w:rPr>
          <w:rFonts w:asciiTheme="minorHAnsi" w:eastAsia="Arial" w:hAnsiTheme="minorHAnsi" w:cstheme="minorHAnsi"/>
          <w:color w:val="000000" w:themeColor="text1"/>
          <w:lang w:bidi="fr-BE"/>
        </w:rPr>
        <w:t xml:space="preserve">Dont les bureaux sont situés Domaine universitaire du Sart à 4000 LIEGE </w:t>
      </w:r>
    </w:p>
    <w:p w14:paraId="55E82C83" w14:textId="77777777" w:rsidR="00ED1C59" w:rsidRPr="00074713" w:rsidRDefault="00ED1C59" w:rsidP="00ED1C59">
      <w:pPr>
        <w:widowControl/>
        <w:ind w:left="1418"/>
        <w:rPr>
          <w:rFonts w:asciiTheme="minorHAnsi" w:eastAsia="Arial" w:hAnsiTheme="minorHAnsi" w:cstheme="minorHAnsi"/>
          <w:color w:val="000000" w:themeColor="text1"/>
          <w:lang w:bidi="fr-BE"/>
        </w:rPr>
      </w:pPr>
    </w:p>
    <w:p w14:paraId="470086CA" w14:textId="77777777" w:rsidR="00ED1C59" w:rsidRPr="00074713" w:rsidRDefault="00ED1C59" w:rsidP="00ED1C59">
      <w:pPr>
        <w:widowControl/>
        <w:ind w:left="1418"/>
        <w:rPr>
          <w:rFonts w:asciiTheme="minorHAnsi" w:eastAsia="Arial" w:hAnsiTheme="minorHAnsi" w:cstheme="minorHAnsi"/>
          <w:lang w:bidi="fr-BE"/>
        </w:rPr>
      </w:pPr>
      <w:r w:rsidRPr="00074713">
        <w:rPr>
          <w:rFonts w:asciiTheme="minorHAnsi" w:eastAsia="Arial" w:hAnsiTheme="minorHAnsi" w:cstheme="minorHAnsi"/>
          <w:u w:val="single"/>
          <w:lang w:bidi="fr-BE"/>
        </w:rPr>
        <w:t>Partie défenderesse</w:t>
      </w:r>
      <w:r w:rsidRPr="00074713">
        <w:rPr>
          <w:rFonts w:asciiTheme="minorHAnsi" w:eastAsia="Arial" w:hAnsiTheme="minorHAnsi" w:cstheme="minorHAnsi"/>
          <w:lang w:bidi="fr-BE"/>
        </w:rPr>
        <w:t xml:space="preserve">, </w:t>
      </w:r>
    </w:p>
    <w:p w14:paraId="7A3FCE1E" w14:textId="77777777" w:rsidR="00ED1C59" w:rsidRPr="00074713" w:rsidRDefault="00ED1C59" w:rsidP="00ED1C59">
      <w:pPr>
        <w:widowControl/>
        <w:ind w:left="1418"/>
        <w:rPr>
          <w:rFonts w:asciiTheme="minorHAnsi" w:eastAsia="Arial" w:hAnsiTheme="minorHAnsi" w:cstheme="minorHAnsi"/>
          <w:lang w:bidi="fr-BE"/>
        </w:rPr>
      </w:pPr>
      <w:bookmarkStart w:id="4" w:name="defavoc"/>
      <w:r w:rsidRPr="00074713">
        <w:rPr>
          <w:rFonts w:asciiTheme="minorHAnsi" w:eastAsia="Arial" w:hAnsiTheme="minorHAnsi" w:cstheme="minorHAnsi"/>
          <w:lang w:bidi="fr-BE"/>
        </w:rPr>
        <w:t xml:space="preserve">ayant comme conseil Me STRONGYLOS MICHEL, avocat, à 4020 LIEGE 2, Place des Nations Unies, 7, et ayant comparu par </w:t>
      </w:r>
      <w:bookmarkEnd w:id="4"/>
      <w:r w:rsidRPr="00074713">
        <w:rPr>
          <w:rFonts w:asciiTheme="minorHAnsi" w:eastAsia="Arial" w:hAnsiTheme="minorHAnsi" w:cstheme="minorHAnsi"/>
          <w:lang w:bidi="fr-BE"/>
        </w:rPr>
        <w:t>Me C. ASSAF, avocat</w:t>
      </w:r>
    </w:p>
    <w:p w14:paraId="7CD353D3" w14:textId="77777777" w:rsidR="00ED1C59" w:rsidRDefault="00ED1C59" w:rsidP="00ED1C59">
      <w:pPr>
        <w:widowControl/>
        <w:jc w:val="both"/>
        <w:rPr>
          <w:rFonts w:asciiTheme="minorHAnsi" w:eastAsia="Arial" w:hAnsiTheme="minorHAnsi" w:cstheme="minorHAnsi"/>
          <w:color w:val="000000" w:themeColor="text1"/>
          <w:sz w:val="16"/>
          <w:szCs w:val="16"/>
          <w:lang w:bidi="fr-BE"/>
        </w:rPr>
      </w:pPr>
    </w:p>
    <w:p w14:paraId="5243BA77" w14:textId="77777777" w:rsidR="00ED1C59" w:rsidRPr="00D5271B" w:rsidRDefault="00ED1C59" w:rsidP="00ED1C59">
      <w:pPr>
        <w:widowControl/>
        <w:jc w:val="both"/>
        <w:rPr>
          <w:rFonts w:asciiTheme="minorHAnsi" w:eastAsia="Arial" w:hAnsiTheme="minorHAnsi" w:cstheme="minorHAnsi"/>
          <w:color w:val="000000" w:themeColor="text1"/>
          <w:sz w:val="16"/>
          <w:szCs w:val="16"/>
          <w:lang w:bidi="fr-BE"/>
        </w:rPr>
      </w:pPr>
    </w:p>
    <w:p w14:paraId="0B5547F7" w14:textId="77777777" w:rsidR="00ED1C59" w:rsidRDefault="00ED1C59" w:rsidP="00ED1C59">
      <w:pPr>
        <w:pStyle w:val="Textebrut"/>
        <w:pBdr>
          <w:top w:val="single" w:sz="4" w:space="1" w:color="auto"/>
        </w:pBdr>
        <w:tabs>
          <w:tab w:val="left" w:pos="1843"/>
        </w:tabs>
        <w:jc w:val="both"/>
        <w:rPr>
          <w:rFonts w:asciiTheme="minorHAnsi" w:hAnsiTheme="minorHAnsi" w:cstheme="minorHAnsi"/>
          <w:b/>
          <w:sz w:val="24"/>
          <w:szCs w:val="24"/>
          <w:u w:val="single"/>
        </w:rPr>
      </w:pPr>
    </w:p>
    <w:p w14:paraId="61B69550" w14:textId="77777777" w:rsidR="00ED1C59" w:rsidRPr="000412D8" w:rsidRDefault="00ED1C59" w:rsidP="00ED1C59">
      <w:pPr>
        <w:pStyle w:val="Textebrut"/>
        <w:tabs>
          <w:tab w:val="left" w:pos="1843"/>
        </w:tabs>
        <w:jc w:val="both"/>
        <w:rPr>
          <w:rFonts w:asciiTheme="minorHAnsi" w:hAnsiTheme="minorHAnsi" w:cstheme="minorHAnsi"/>
          <w:b/>
          <w:sz w:val="24"/>
          <w:szCs w:val="24"/>
          <w:u w:val="single"/>
        </w:rPr>
      </w:pPr>
      <w:r w:rsidRPr="000412D8">
        <w:rPr>
          <w:rFonts w:asciiTheme="minorHAnsi" w:hAnsiTheme="minorHAnsi" w:cstheme="minorHAnsi"/>
          <w:b/>
          <w:sz w:val="24"/>
          <w:szCs w:val="24"/>
          <w:u w:val="single"/>
        </w:rPr>
        <w:t>PROCEDURE</w:t>
      </w:r>
    </w:p>
    <w:p w14:paraId="348AFBF3" w14:textId="77777777" w:rsidR="00ED1C59" w:rsidRPr="000412D8" w:rsidRDefault="00ED1C59" w:rsidP="00ED1C59">
      <w:pPr>
        <w:pStyle w:val="Textebrut"/>
        <w:tabs>
          <w:tab w:val="left" w:pos="1843"/>
        </w:tabs>
        <w:jc w:val="both"/>
        <w:rPr>
          <w:rFonts w:asciiTheme="minorHAnsi" w:hAnsiTheme="minorHAnsi" w:cstheme="minorHAnsi"/>
          <w:sz w:val="24"/>
          <w:szCs w:val="24"/>
        </w:rPr>
      </w:pPr>
    </w:p>
    <w:p w14:paraId="52F0639B" w14:textId="77777777" w:rsidR="00ED1C59" w:rsidRPr="000412D8" w:rsidRDefault="00ED1C59" w:rsidP="00ED1C59">
      <w:pPr>
        <w:widowControl/>
        <w:suppressAutoHyphens w:val="0"/>
        <w:autoSpaceDN/>
        <w:jc w:val="both"/>
        <w:textAlignment w:val="auto"/>
        <w:rPr>
          <w:rFonts w:asciiTheme="minorHAnsi" w:eastAsia="Times New Roman" w:hAnsiTheme="minorHAnsi" w:cstheme="minorHAnsi"/>
          <w:kern w:val="0"/>
          <w:lang w:val="fr-FR" w:eastAsia="en-US"/>
        </w:rPr>
      </w:pPr>
      <w:r w:rsidRPr="000412D8">
        <w:rPr>
          <w:rFonts w:asciiTheme="minorHAnsi" w:eastAsia="Times New Roman" w:hAnsiTheme="minorHAnsi" w:cstheme="minorHAnsi"/>
          <w:kern w:val="0"/>
          <w:lang w:val="fr-FR" w:eastAsia="en-US"/>
        </w:rPr>
        <w:t>Vu les dispositions de la loi du 15 juin 1935 concernant l’emploi des langues en matière judiciaire.</w:t>
      </w:r>
    </w:p>
    <w:p w14:paraId="6B2A1257" w14:textId="77777777" w:rsidR="00ED1C59" w:rsidRPr="000412D8" w:rsidRDefault="00ED1C59" w:rsidP="00ED1C59">
      <w:pPr>
        <w:pStyle w:val="Textebrut"/>
        <w:tabs>
          <w:tab w:val="left" w:pos="1843"/>
        </w:tabs>
        <w:jc w:val="both"/>
        <w:rPr>
          <w:rFonts w:asciiTheme="minorHAnsi" w:hAnsiTheme="minorHAnsi" w:cstheme="minorHAnsi"/>
          <w:sz w:val="24"/>
          <w:szCs w:val="24"/>
          <w:lang w:val="fr-FR"/>
        </w:rPr>
      </w:pPr>
    </w:p>
    <w:p w14:paraId="480E7610" w14:textId="4ACF6448" w:rsidR="00ED1C59" w:rsidRDefault="00ED1C59" w:rsidP="00ED1C59">
      <w:pPr>
        <w:widowControl/>
        <w:suppressAutoHyphens w:val="0"/>
        <w:autoSpaceDN/>
        <w:jc w:val="both"/>
        <w:textAlignment w:val="auto"/>
        <w:rPr>
          <w:rFonts w:asciiTheme="minorHAnsi" w:eastAsia="Times New Roman" w:hAnsiTheme="minorHAnsi" w:cstheme="minorHAnsi"/>
          <w:kern w:val="0"/>
          <w:lang w:val="fr-FR" w:eastAsia="en-US"/>
        </w:rPr>
      </w:pPr>
      <w:r w:rsidRPr="000412D8">
        <w:rPr>
          <w:rFonts w:asciiTheme="minorHAnsi" w:eastAsia="Times New Roman" w:hAnsiTheme="minorHAnsi" w:cstheme="minorHAnsi"/>
          <w:kern w:val="0"/>
          <w:lang w:val="fr-FR" w:eastAsia="en-US"/>
        </w:rPr>
        <w:t>Vu les pièces du dossier de la procédure, à la clôture des débats, et notamment :</w:t>
      </w:r>
    </w:p>
    <w:p w14:paraId="114702DD" w14:textId="6C45908E" w:rsidR="00D029AA" w:rsidRDefault="00D029AA" w:rsidP="00ED1C59">
      <w:pPr>
        <w:widowControl/>
        <w:suppressAutoHyphens w:val="0"/>
        <w:autoSpaceDN/>
        <w:jc w:val="both"/>
        <w:textAlignment w:val="auto"/>
        <w:rPr>
          <w:rFonts w:asciiTheme="minorHAnsi" w:eastAsia="Times New Roman" w:hAnsiTheme="minorHAnsi" w:cstheme="minorHAnsi"/>
          <w:kern w:val="0"/>
          <w:lang w:val="fr-FR" w:eastAsia="en-US"/>
        </w:rPr>
      </w:pPr>
    </w:p>
    <w:p w14:paraId="51CA6E4E" w14:textId="0381EE6D" w:rsidR="00D029AA" w:rsidRDefault="00447DB5" w:rsidP="00D029AA">
      <w:pPr>
        <w:pStyle w:val="Paragraphedeliste"/>
        <w:widowControl/>
        <w:numPr>
          <w:ilvl w:val="0"/>
          <w:numId w:val="7"/>
        </w:numPr>
        <w:suppressAutoHyphens w:val="0"/>
        <w:autoSpaceDN/>
        <w:jc w:val="both"/>
        <w:textAlignment w:val="auto"/>
        <w:rPr>
          <w:rFonts w:asciiTheme="minorHAnsi" w:eastAsia="Times New Roman" w:hAnsiTheme="minorHAnsi" w:cstheme="minorHAnsi"/>
          <w:kern w:val="0"/>
          <w:lang w:val="fr-FR" w:eastAsia="en-US"/>
        </w:rPr>
      </w:pPr>
      <w:r>
        <w:rPr>
          <w:rFonts w:asciiTheme="minorHAnsi" w:eastAsia="Times New Roman" w:hAnsiTheme="minorHAnsi" w:cstheme="minorHAnsi"/>
          <w:kern w:val="0"/>
          <w:lang w:val="fr-FR" w:eastAsia="en-US"/>
        </w:rPr>
        <w:t>l</w:t>
      </w:r>
      <w:r w:rsidR="00D029AA">
        <w:rPr>
          <w:rFonts w:asciiTheme="minorHAnsi" w:eastAsia="Times New Roman" w:hAnsiTheme="minorHAnsi" w:cstheme="minorHAnsi"/>
          <w:kern w:val="0"/>
          <w:lang w:val="fr-FR" w:eastAsia="en-US"/>
        </w:rPr>
        <w:t>e jugement prononcé le 23 avril 2018 ordonnant une nouvelle expertise confiée au Docteur BASTINGS ;</w:t>
      </w:r>
    </w:p>
    <w:p w14:paraId="3813F199" w14:textId="3F1095C5" w:rsidR="00D029AA" w:rsidRDefault="00D029AA" w:rsidP="00D029AA">
      <w:pPr>
        <w:pStyle w:val="Paragraphedeliste"/>
        <w:widowControl/>
        <w:numPr>
          <w:ilvl w:val="0"/>
          <w:numId w:val="7"/>
        </w:numPr>
        <w:suppressAutoHyphens w:val="0"/>
        <w:autoSpaceDN/>
        <w:jc w:val="both"/>
        <w:textAlignment w:val="auto"/>
        <w:rPr>
          <w:rFonts w:asciiTheme="minorHAnsi" w:eastAsia="Times New Roman" w:hAnsiTheme="minorHAnsi" w:cstheme="minorHAnsi"/>
          <w:kern w:val="0"/>
          <w:lang w:val="fr-FR" w:eastAsia="en-US"/>
        </w:rPr>
      </w:pPr>
      <w:r>
        <w:rPr>
          <w:rFonts w:asciiTheme="minorHAnsi" w:eastAsia="Times New Roman" w:hAnsiTheme="minorHAnsi" w:cstheme="minorHAnsi"/>
          <w:kern w:val="0"/>
          <w:lang w:val="fr-FR" w:eastAsia="en-US"/>
        </w:rPr>
        <w:t xml:space="preserve">les conclusions après expertise de </w:t>
      </w:r>
      <w:r w:rsidR="0065284F">
        <w:rPr>
          <w:rFonts w:asciiTheme="minorHAnsi" w:eastAsia="Times New Roman" w:hAnsiTheme="minorHAnsi" w:cstheme="minorHAnsi"/>
          <w:kern w:val="0"/>
          <w:lang w:val="fr-FR" w:eastAsia="en-US"/>
        </w:rPr>
        <w:t>le CHU</w:t>
      </w:r>
      <w:r>
        <w:rPr>
          <w:rFonts w:asciiTheme="minorHAnsi" w:eastAsia="Times New Roman" w:hAnsiTheme="minorHAnsi" w:cstheme="minorHAnsi"/>
          <w:kern w:val="0"/>
          <w:lang w:val="fr-FR" w:eastAsia="en-US"/>
        </w:rPr>
        <w:t> ;</w:t>
      </w:r>
    </w:p>
    <w:p w14:paraId="514450A2" w14:textId="77777777" w:rsidR="00D029AA" w:rsidRDefault="00D029AA" w:rsidP="00D029AA">
      <w:pPr>
        <w:pStyle w:val="Paragraphedeliste"/>
        <w:widowControl/>
        <w:numPr>
          <w:ilvl w:val="0"/>
          <w:numId w:val="7"/>
        </w:numPr>
        <w:suppressAutoHyphens w:val="0"/>
        <w:autoSpaceDN/>
        <w:jc w:val="both"/>
        <w:textAlignment w:val="auto"/>
        <w:rPr>
          <w:rFonts w:asciiTheme="minorHAnsi" w:eastAsia="Times New Roman" w:hAnsiTheme="minorHAnsi" w:cstheme="minorHAnsi"/>
          <w:kern w:val="0"/>
          <w:lang w:val="fr-FR" w:eastAsia="en-US"/>
        </w:rPr>
      </w:pPr>
      <w:r>
        <w:rPr>
          <w:rFonts w:asciiTheme="minorHAnsi" w:eastAsia="Times New Roman" w:hAnsiTheme="minorHAnsi" w:cstheme="minorHAnsi"/>
          <w:kern w:val="0"/>
          <w:lang w:val="fr-FR" w:eastAsia="en-US"/>
        </w:rPr>
        <w:t>les conclusions après expertise de la partie demanderesse ;</w:t>
      </w:r>
    </w:p>
    <w:p w14:paraId="63C84172" w14:textId="2EACBDF5" w:rsidR="00D029AA" w:rsidRDefault="00D029AA" w:rsidP="00D029AA">
      <w:pPr>
        <w:pStyle w:val="Paragraphedeliste"/>
        <w:widowControl/>
        <w:numPr>
          <w:ilvl w:val="0"/>
          <w:numId w:val="7"/>
        </w:numPr>
        <w:suppressAutoHyphens w:val="0"/>
        <w:autoSpaceDN/>
        <w:jc w:val="both"/>
        <w:textAlignment w:val="auto"/>
        <w:rPr>
          <w:rFonts w:asciiTheme="minorHAnsi" w:eastAsia="Times New Roman" w:hAnsiTheme="minorHAnsi" w:cstheme="minorHAnsi"/>
          <w:kern w:val="0"/>
          <w:lang w:val="fr-FR" w:eastAsia="en-US"/>
        </w:rPr>
      </w:pPr>
      <w:r>
        <w:rPr>
          <w:rFonts w:asciiTheme="minorHAnsi" w:eastAsia="Times New Roman" w:hAnsiTheme="minorHAnsi" w:cstheme="minorHAnsi"/>
          <w:kern w:val="0"/>
          <w:lang w:val="fr-FR" w:eastAsia="en-US"/>
        </w:rPr>
        <w:t xml:space="preserve">les conclusions de synthèse après expertise de </w:t>
      </w:r>
      <w:r w:rsidR="0065284F">
        <w:rPr>
          <w:rFonts w:asciiTheme="minorHAnsi" w:eastAsia="Times New Roman" w:hAnsiTheme="minorHAnsi" w:cstheme="minorHAnsi"/>
          <w:kern w:val="0"/>
          <w:lang w:val="fr-FR" w:eastAsia="en-US"/>
        </w:rPr>
        <w:t>le CHU</w:t>
      </w:r>
      <w:r>
        <w:rPr>
          <w:rFonts w:asciiTheme="minorHAnsi" w:eastAsia="Times New Roman" w:hAnsiTheme="minorHAnsi" w:cstheme="minorHAnsi"/>
          <w:kern w:val="0"/>
          <w:lang w:val="fr-FR" w:eastAsia="en-US"/>
        </w:rPr>
        <w:t xml:space="preserve"> ;</w:t>
      </w:r>
    </w:p>
    <w:p w14:paraId="3AB6D23B" w14:textId="012A859E" w:rsidR="00D029AA" w:rsidRDefault="00D029AA" w:rsidP="00D029AA">
      <w:pPr>
        <w:pStyle w:val="Paragraphedeliste"/>
        <w:widowControl/>
        <w:numPr>
          <w:ilvl w:val="0"/>
          <w:numId w:val="7"/>
        </w:numPr>
        <w:suppressAutoHyphens w:val="0"/>
        <w:autoSpaceDN/>
        <w:jc w:val="both"/>
        <w:textAlignment w:val="auto"/>
        <w:rPr>
          <w:rFonts w:asciiTheme="minorHAnsi" w:eastAsia="Times New Roman" w:hAnsiTheme="minorHAnsi" w:cstheme="minorHAnsi"/>
          <w:kern w:val="0"/>
          <w:lang w:val="fr-FR" w:eastAsia="en-US"/>
        </w:rPr>
      </w:pPr>
      <w:r>
        <w:rPr>
          <w:rFonts w:asciiTheme="minorHAnsi" w:eastAsia="Times New Roman" w:hAnsiTheme="minorHAnsi" w:cstheme="minorHAnsi"/>
          <w:kern w:val="0"/>
          <w:lang w:val="fr-FR" w:eastAsia="en-US"/>
        </w:rPr>
        <w:t>les conclusions de synthèse après expertise de la partie d</w:t>
      </w:r>
      <w:r w:rsidR="00447DB5">
        <w:rPr>
          <w:rFonts w:asciiTheme="minorHAnsi" w:eastAsia="Times New Roman" w:hAnsiTheme="minorHAnsi" w:cstheme="minorHAnsi"/>
          <w:kern w:val="0"/>
          <w:lang w:val="fr-FR" w:eastAsia="en-US"/>
        </w:rPr>
        <w:t>emanderesse ;</w:t>
      </w:r>
    </w:p>
    <w:p w14:paraId="6A56649B" w14:textId="05E07A5B" w:rsidR="00D029AA" w:rsidRDefault="00447DB5" w:rsidP="00D029AA">
      <w:pPr>
        <w:pStyle w:val="Paragraphedeliste"/>
        <w:widowControl/>
        <w:numPr>
          <w:ilvl w:val="0"/>
          <w:numId w:val="7"/>
        </w:numPr>
        <w:suppressAutoHyphens w:val="0"/>
        <w:autoSpaceDN/>
        <w:jc w:val="both"/>
        <w:textAlignment w:val="auto"/>
        <w:rPr>
          <w:rFonts w:asciiTheme="minorHAnsi" w:eastAsia="Times New Roman" w:hAnsiTheme="minorHAnsi" w:cstheme="minorHAnsi"/>
          <w:kern w:val="0"/>
          <w:lang w:val="fr-FR" w:eastAsia="en-US"/>
        </w:rPr>
      </w:pPr>
      <w:r>
        <w:rPr>
          <w:rFonts w:asciiTheme="minorHAnsi" w:eastAsia="Times New Roman" w:hAnsiTheme="minorHAnsi" w:cstheme="minorHAnsi"/>
          <w:kern w:val="0"/>
          <w:lang w:val="fr-FR" w:eastAsia="en-US"/>
        </w:rPr>
        <w:t>l</w:t>
      </w:r>
      <w:r w:rsidR="00D029AA">
        <w:rPr>
          <w:rFonts w:asciiTheme="minorHAnsi" w:eastAsia="Times New Roman" w:hAnsiTheme="minorHAnsi" w:cstheme="minorHAnsi"/>
          <w:kern w:val="0"/>
          <w:lang w:val="fr-FR" w:eastAsia="en-US"/>
        </w:rPr>
        <w:t xml:space="preserve">e dossier de pièces de </w:t>
      </w:r>
      <w:r w:rsidR="0065284F">
        <w:rPr>
          <w:rFonts w:asciiTheme="minorHAnsi" w:eastAsia="Times New Roman" w:hAnsiTheme="minorHAnsi" w:cstheme="minorHAnsi"/>
          <w:kern w:val="0"/>
          <w:lang w:val="fr-FR" w:eastAsia="en-US"/>
        </w:rPr>
        <w:t>le CHU</w:t>
      </w:r>
      <w:r>
        <w:rPr>
          <w:rFonts w:asciiTheme="minorHAnsi" w:eastAsia="Times New Roman" w:hAnsiTheme="minorHAnsi" w:cstheme="minorHAnsi"/>
          <w:kern w:val="0"/>
          <w:lang w:val="fr-FR" w:eastAsia="en-US"/>
        </w:rPr>
        <w:t> ;</w:t>
      </w:r>
    </w:p>
    <w:p w14:paraId="2546FE2A" w14:textId="297825A1" w:rsidR="00D029AA" w:rsidRDefault="00447DB5" w:rsidP="00D029AA">
      <w:pPr>
        <w:pStyle w:val="Paragraphedeliste"/>
        <w:widowControl/>
        <w:numPr>
          <w:ilvl w:val="0"/>
          <w:numId w:val="7"/>
        </w:numPr>
        <w:suppressAutoHyphens w:val="0"/>
        <w:autoSpaceDN/>
        <w:jc w:val="both"/>
        <w:textAlignment w:val="auto"/>
        <w:rPr>
          <w:rFonts w:asciiTheme="minorHAnsi" w:eastAsia="Times New Roman" w:hAnsiTheme="minorHAnsi" w:cstheme="minorHAnsi"/>
          <w:kern w:val="0"/>
          <w:lang w:val="fr-FR" w:eastAsia="en-US"/>
        </w:rPr>
      </w:pPr>
      <w:r>
        <w:rPr>
          <w:rFonts w:asciiTheme="minorHAnsi" w:eastAsia="Times New Roman" w:hAnsiTheme="minorHAnsi" w:cstheme="minorHAnsi"/>
          <w:kern w:val="0"/>
          <w:lang w:val="fr-FR" w:eastAsia="en-US"/>
        </w:rPr>
        <w:t>l</w:t>
      </w:r>
      <w:r w:rsidR="00D029AA">
        <w:rPr>
          <w:rFonts w:asciiTheme="minorHAnsi" w:eastAsia="Times New Roman" w:hAnsiTheme="minorHAnsi" w:cstheme="minorHAnsi"/>
          <w:kern w:val="0"/>
          <w:lang w:val="fr-FR" w:eastAsia="en-US"/>
        </w:rPr>
        <w:t>e dossier de pièces de la partie demanderesse.</w:t>
      </w:r>
    </w:p>
    <w:p w14:paraId="2B0345CE" w14:textId="01485AD9" w:rsidR="00D029AA" w:rsidRDefault="00D029AA" w:rsidP="00447DB5">
      <w:pPr>
        <w:pStyle w:val="Paragraphedeliste"/>
        <w:widowControl/>
        <w:suppressAutoHyphens w:val="0"/>
        <w:autoSpaceDN/>
        <w:jc w:val="both"/>
        <w:textAlignment w:val="auto"/>
        <w:rPr>
          <w:rFonts w:asciiTheme="minorHAnsi" w:eastAsia="Times New Roman" w:hAnsiTheme="minorHAnsi" w:cstheme="minorHAnsi"/>
          <w:kern w:val="0"/>
          <w:lang w:val="fr-FR" w:eastAsia="en-US"/>
        </w:rPr>
      </w:pPr>
      <w:r>
        <w:rPr>
          <w:rFonts w:asciiTheme="minorHAnsi" w:eastAsia="Times New Roman" w:hAnsiTheme="minorHAnsi" w:cstheme="minorHAnsi"/>
          <w:kern w:val="0"/>
          <w:lang w:val="fr-FR" w:eastAsia="en-US"/>
        </w:rPr>
        <w:t xml:space="preserve"> </w:t>
      </w:r>
    </w:p>
    <w:p w14:paraId="7AD7FFF2" w14:textId="512F9F68" w:rsidR="00ED1C59" w:rsidRPr="000412D8" w:rsidRDefault="00ED1C59" w:rsidP="00ED1C59">
      <w:pPr>
        <w:widowControl/>
        <w:tabs>
          <w:tab w:val="left" w:pos="-720"/>
        </w:tabs>
        <w:autoSpaceDN/>
        <w:jc w:val="both"/>
        <w:textAlignment w:val="auto"/>
        <w:rPr>
          <w:rFonts w:asciiTheme="minorHAnsi" w:eastAsia="Times New Roman" w:hAnsiTheme="minorHAnsi" w:cstheme="minorHAnsi"/>
          <w:spacing w:val="-2"/>
          <w:kern w:val="0"/>
          <w:lang w:val="fr-FR" w:eastAsia="en-US"/>
        </w:rPr>
      </w:pPr>
      <w:r w:rsidRPr="000412D8">
        <w:rPr>
          <w:rFonts w:asciiTheme="minorHAnsi" w:eastAsia="Times New Roman" w:hAnsiTheme="minorHAnsi" w:cstheme="minorHAnsi"/>
          <w:spacing w:val="-2"/>
          <w:kern w:val="0"/>
          <w:lang w:val="fr-FR" w:eastAsia="en-US"/>
        </w:rPr>
        <w:t xml:space="preserve">Entendu les parties présentes ou représentées en leurs dires et moyens à l’audience du </w:t>
      </w:r>
      <w:r w:rsidRPr="000412D8">
        <w:rPr>
          <w:rFonts w:asciiTheme="minorHAnsi" w:eastAsia="Times New Roman" w:hAnsiTheme="minorHAnsi" w:cstheme="minorHAnsi"/>
          <w:b/>
          <w:kern w:val="0"/>
          <w:lang w:eastAsia="en-US"/>
        </w:rPr>
        <w:t>5/12/2022</w:t>
      </w:r>
      <w:r w:rsidRPr="000412D8">
        <w:rPr>
          <w:rFonts w:asciiTheme="minorHAnsi" w:eastAsia="Times New Roman" w:hAnsiTheme="minorHAnsi" w:cstheme="minorHAnsi"/>
          <w:kern w:val="0"/>
          <w:lang w:eastAsia="en-US"/>
        </w:rPr>
        <w:t>.</w:t>
      </w:r>
    </w:p>
    <w:p w14:paraId="742926D6" w14:textId="77777777" w:rsidR="00ED1C59" w:rsidRPr="000412D8" w:rsidRDefault="00ED1C59" w:rsidP="00ED1C59">
      <w:pPr>
        <w:pStyle w:val="Textebrut"/>
        <w:tabs>
          <w:tab w:val="left" w:pos="1843"/>
        </w:tabs>
        <w:jc w:val="both"/>
        <w:rPr>
          <w:rFonts w:asciiTheme="minorHAnsi" w:hAnsiTheme="minorHAnsi" w:cstheme="minorHAnsi"/>
          <w:b/>
          <w:sz w:val="24"/>
          <w:szCs w:val="24"/>
          <w:u w:val="single"/>
          <w:lang w:val="fr-FR"/>
        </w:rPr>
      </w:pPr>
    </w:p>
    <w:p w14:paraId="2CDF8066" w14:textId="1FF35D43" w:rsidR="00ED1C59" w:rsidRDefault="00D029AA" w:rsidP="00ED1C59">
      <w:pPr>
        <w:pStyle w:val="Textebrut"/>
        <w:tabs>
          <w:tab w:val="left" w:pos="1843"/>
        </w:tabs>
        <w:jc w:val="both"/>
        <w:rPr>
          <w:rFonts w:asciiTheme="minorHAnsi" w:hAnsiTheme="minorHAnsi" w:cstheme="minorHAnsi"/>
          <w:b/>
          <w:sz w:val="24"/>
          <w:szCs w:val="24"/>
          <w:u w:val="single"/>
          <w:lang w:val="fr-FR"/>
        </w:rPr>
      </w:pPr>
      <w:r>
        <w:rPr>
          <w:rFonts w:asciiTheme="minorHAnsi" w:hAnsiTheme="minorHAnsi" w:cstheme="minorHAnsi"/>
          <w:b/>
          <w:sz w:val="24"/>
          <w:szCs w:val="24"/>
          <w:u w:val="single"/>
          <w:lang w:val="fr-FR"/>
        </w:rPr>
        <w:t>RAPPEL DES FAITS</w:t>
      </w:r>
    </w:p>
    <w:p w14:paraId="564DA66F" w14:textId="7BF6DB05" w:rsidR="00D029AA" w:rsidRDefault="00D029AA" w:rsidP="00ED1C59">
      <w:pPr>
        <w:pStyle w:val="Textebrut"/>
        <w:tabs>
          <w:tab w:val="left" w:pos="1843"/>
        </w:tabs>
        <w:jc w:val="both"/>
        <w:rPr>
          <w:rFonts w:asciiTheme="minorHAnsi" w:hAnsiTheme="minorHAnsi" w:cstheme="minorHAnsi"/>
          <w:b/>
          <w:sz w:val="24"/>
          <w:szCs w:val="24"/>
          <w:u w:val="single"/>
          <w:lang w:val="fr-FR"/>
        </w:rPr>
      </w:pPr>
    </w:p>
    <w:p w14:paraId="433A272C" w14:textId="3F6EDFF2" w:rsidR="00447DB5" w:rsidRDefault="00447DB5"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Pr>
          <w:rFonts w:asciiTheme="minorHAnsi" w:hAnsiTheme="minorHAnsi" w:cstheme="minorHAnsi"/>
          <w:bCs/>
          <w:sz w:val="24"/>
          <w:szCs w:val="24"/>
          <w:lang w:val="fr-FR"/>
        </w:rPr>
        <w:t>,</w:t>
      </w:r>
      <w:r w:rsidR="00D029AA" w:rsidRPr="00D029AA">
        <w:rPr>
          <w:rFonts w:asciiTheme="minorHAnsi" w:hAnsiTheme="minorHAnsi" w:cstheme="minorHAnsi"/>
          <w:bCs/>
          <w:sz w:val="24"/>
          <w:szCs w:val="24"/>
          <w:lang w:val="fr-FR"/>
        </w:rPr>
        <w:t xml:space="preserve"> qui travaille en qualité de médecin anesthésiste au CHU</w:t>
      </w:r>
      <w:r>
        <w:rPr>
          <w:rFonts w:asciiTheme="minorHAnsi" w:hAnsiTheme="minorHAnsi" w:cstheme="minorHAnsi"/>
          <w:bCs/>
          <w:sz w:val="24"/>
          <w:szCs w:val="24"/>
          <w:lang w:val="fr-FR"/>
        </w:rPr>
        <w:t xml:space="preserve"> de Liège, a</w:t>
      </w:r>
      <w:r w:rsidR="00D029AA">
        <w:rPr>
          <w:rFonts w:asciiTheme="minorHAnsi" w:hAnsiTheme="minorHAnsi" w:cstheme="minorHAnsi"/>
          <w:bCs/>
          <w:sz w:val="24"/>
          <w:szCs w:val="24"/>
          <w:lang w:val="fr-FR"/>
        </w:rPr>
        <w:t xml:space="preserve"> été victime d’un accident sur le chemin du travail </w:t>
      </w:r>
      <w:r>
        <w:rPr>
          <w:rFonts w:asciiTheme="minorHAnsi" w:hAnsiTheme="minorHAnsi" w:cstheme="minorHAnsi"/>
          <w:bCs/>
          <w:sz w:val="24"/>
          <w:szCs w:val="24"/>
          <w:lang w:val="fr-FR"/>
        </w:rPr>
        <w:t>le</w:t>
      </w:r>
      <w:r w:rsidR="00D029AA">
        <w:rPr>
          <w:rFonts w:asciiTheme="minorHAnsi" w:hAnsiTheme="minorHAnsi" w:cstheme="minorHAnsi"/>
          <w:bCs/>
          <w:sz w:val="24"/>
          <w:szCs w:val="24"/>
          <w:lang w:val="fr-FR"/>
        </w:rPr>
        <w:t xml:space="preserve"> 30 décembre 2011 alors qu’elle se rendait à la clinique Notre-Dame des </w:t>
      </w:r>
      <w:r>
        <w:rPr>
          <w:rFonts w:asciiTheme="minorHAnsi" w:hAnsiTheme="minorHAnsi" w:cstheme="minorHAnsi"/>
          <w:bCs/>
          <w:sz w:val="24"/>
          <w:szCs w:val="24"/>
          <w:lang w:val="fr-FR"/>
        </w:rPr>
        <w:t>A</w:t>
      </w:r>
      <w:r w:rsidR="00D029AA">
        <w:rPr>
          <w:rFonts w:asciiTheme="minorHAnsi" w:hAnsiTheme="minorHAnsi" w:cstheme="minorHAnsi"/>
          <w:bCs/>
          <w:sz w:val="24"/>
          <w:szCs w:val="24"/>
          <w:lang w:val="fr-FR"/>
        </w:rPr>
        <w:t xml:space="preserve">nges. </w:t>
      </w:r>
    </w:p>
    <w:p w14:paraId="483D41D5" w14:textId="161E21A3" w:rsidR="00D029AA" w:rsidRDefault="00D029AA"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Elle a dérapé sur le sol glissant et s’</w:t>
      </w:r>
      <w:r w:rsidR="00447DB5">
        <w:rPr>
          <w:rFonts w:asciiTheme="minorHAnsi" w:hAnsiTheme="minorHAnsi" w:cstheme="minorHAnsi"/>
          <w:bCs/>
          <w:sz w:val="24"/>
          <w:szCs w:val="24"/>
          <w:lang w:val="fr-FR"/>
        </w:rPr>
        <w:t>est</w:t>
      </w:r>
      <w:r>
        <w:rPr>
          <w:rFonts w:asciiTheme="minorHAnsi" w:hAnsiTheme="minorHAnsi" w:cstheme="minorHAnsi"/>
          <w:bCs/>
          <w:sz w:val="24"/>
          <w:szCs w:val="24"/>
          <w:lang w:val="fr-FR"/>
        </w:rPr>
        <w:t xml:space="preserve"> </w:t>
      </w:r>
      <w:r w:rsidR="00FB3EBC">
        <w:rPr>
          <w:rFonts w:asciiTheme="minorHAnsi" w:hAnsiTheme="minorHAnsi" w:cstheme="minorHAnsi"/>
          <w:bCs/>
          <w:sz w:val="24"/>
          <w:szCs w:val="24"/>
          <w:lang w:val="fr-FR"/>
        </w:rPr>
        <w:t>occasionné</w:t>
      </w:r>
      <w:r w:rsidR="00A0556C">
        <w:rPr>
          <w:rFonts w:asciiTheme="minorHAnsi" w:hAnsiTheme="minorHAnsi" w:cstheme="minorHAnsi"/>
          <w:bCs/>
          <w:sz w:val="24"/>
          <w:szCs w:val="24"/>
          <w:lang w:val="fr-FR"/>
        </w:rPr>
        <w:t>e</w:t>
      </w:r>
      <w:r>
        <w:rPr>
          <w:rFonts w:asciiTheme="minorHAnsi" w:hAnsiTheme="minorHAnsi" w:cstheme="minorHAnsi"/>
          <w:bCs/>
          <w:sz w:val="24"/>
          <w:szCs w:val="24"/>
          <w:lang w:val="fr-FR"/>
        </w:rPr>
        <w:t xml:space="preserve"> une torsion du genou droit, elle a ressenti une douleur importante au niveau de la rotule droite qui s’est luxée.</w:t>
      </w:r>
    </w:p>
    <w:p w14:paraId="1CFD1F0B" w14:textId="359C9EA5" w:rsidR="00A0556C" w:rsidRDefault="00A0556C" w:rsidP="00ED1C59">
      <w:pPr>
        <w:pStyle w:val="Textebrut"/>
        <w:tabs>
          <w:tab w:val="left" w:pos="1843"/>
        </w:tabs>
        <w:jc w:val="both"/>
        <w:rPr>
          <w:rFonts w:asciiTheme="minorHAnsi" w:hAnsiTheme="minorHAnsi" w:cstheme="minorHAnsi"/>
          <w:bCs/>
          <w:sz w:val="24"/>
          <w:szCs w:val="24"/>
          <w:lang w:val="fr-FR"/>
        </w:rPr>
      </w:pPr>
    </w:p>
    <w:p w14:paraId="547EFBE1" w14:textId="2E5C90FE" w:rsidR="00A0556C" w:rsidRDefault="00A0556C"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L’accident a été reconnu.</w:t>
      </w:r>
    </w:p>
    <w:p w14:paraId="277F5C2A" w14:textId="5BFF840F" w:rsidR="000C446B" w:rsidRDefault="000C446B" w:rsidP="00ED1C59">
      <w:pPr>
        <w:pStyle w:val="Textebrut"/>
        <w:tabs>
          <w:tab w:val="left" w:pos="1843"/>
        </w:tabs>
        <w:jc w:val="both"/>
        <w:rPr>
          <w:rFonts w:asciiTheme="minorHAnsi" w:hAnsiTheme="minorHAnsi" w:cstheme="minorHAnsi"/>
          <w:bCs/>
          <w:sz w:val="24"/>
          <w:szCs w:val="24"/>
          <w:lang w:val="fr-FR"/>
        </w:rPr>
      </w:pPr>
    </w:p>
    <w:p w14:paraId="747A1441" w14:textId="50C2D4FE" w:rsidR="000C446B" w:rsidRDefault="000C446B"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Le 13 février 2013, le MEDEX a adressé à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Pr>
          <w:rFonts w:asciiTheme="minorHAnsi" w:hAnsiTheme="minorHAnsi" w:cstheme="minorHAnsi"/>
          <w:bCs/>
          <w:sz w:val="24"/>
          <w:szCs w:val="24"/>
          <w:lang w:val="fr-FR"/>
        </w:rPr>
        <w:t xml:space="preserve"> ses conclusions fixant la date de consolidation au 16 octobre 2012 avec un taux d’incapacité permanente partielle de 6 %.</w:t>
      </w:r>
    </w:p>
    <w:p w14:paraId="54E8298A" w14:textId="698E736A" w:rsidR="000C446B" w:rsidRDefault="000C446B" w:rsidP="00ED1C59">
      <w:pPr>
        <w:pStyle w:val="Textebrut"/>
        <w:tabs>
          <w:tab w:val="left" w:pos="1843"/>
        </w:tabs>
        <w:jc w:val="both"/>
        <w:rPr>
          <w:rFonts w:asciiTheme="minorHAnsi" w:hAnsiTheme="minorHAnsi" w:cstheme="minorHAnsi"/>
          <w:bCs/>
          <w:sz w:val="24"/>
          <w:szCs w:val="24"/>
          <w:lang w:val="fr-FR"/>
        </w:rPr>
      </w:pPr>
    </w:p>
    <w:p w14:paraId="18EE9302" w14:textId="303337CA" w:rsidR="000C446B" w:rsidRPr="00447DB5" w:rsidRDefault="000C446B" w:rsidP="00ED1C59">
      <w:pPr>
        <w:pStyle w:val="Textebrut"/>
        <w:tabs>
          <w:tab w:val="left" w:pos="1843"/>
        </w:tabs>
        <w:jc w:val="both"/>
        <w:rPr>
          <w:rFonts w:asciiTheme="minorHAnsi" w:hAnsiTheme="minorHAnsi" w:cstheme="minorHAnsi"/>
          <w:bCs/>
          <w:i/>
          <w:iCs/>
          <w:sz w:val="24"/>
          <w:szCs w:val="24"/>
          <w:lang w:val="fr-FR"/>
        </w:rPr>
      </w:pPr>
      <w:r>
        <w:rPr>
          <w:rFonts w:asciiTheme="minorHAnsi" w:hAnsiTheme="minorHAnsi" w:cstheme="minorHAnsi"/>
          <w:bCs/>
          <w:sz w:val="24"/>
          <w:szCs w:val="24"/>
          <w:lang w:val="fr-FR"/>
        </w:rPr>
        <w:t>Le 4 décembre 2012</w:t>
      </w:r>
      <w:r w:rsidR="00A0556C">
        <w:rPr>
          <w:rFonts w:asciiTheme="minorHAnsi" w:hAnsiTheme="minorHAnsi" w:cstheme="minorHAnsi"/>
          <w:bCs/>
          <w:sz w:val="24"/>
          <w:szCs w:val="24"/>
          <w:lang w:val="fr-FR"/>
        </w:rPr>
        <w:t>,</w:t>
      </w:r>
      <w:r>
        <w:rPr>
          <w:rFonts w:asciiTheme="minorHAnsi" w:hAnsiTheme="minorHAnsi" w:cstheme="minorHAnsi"/>
          <w:bCs/>
          <w:sz w:val="24"/>
          <w:szCs w:val="24"/>
          <w:lang w:val="fr-FR"/>
        </w:rPr>
        <w:t xml:space="preserve"> la SA ETHIAS, en sa qualité d’assureur accident du travail du CHU </w:t>
      </w:r>
      <w:r w:rsidR="00447DB5">
        <w:rPr>
          <w:rFonts w:asciiTheme="minorHAnsi" w:hAnsiTheme="minorHAnsi" w:cstheme="minorHAnsi"/>
          <w:bCs/>
          <w:sz w:val="24"/>
          <w:szCs w:val="24"/>
          <w:lang w:val="fr-FR"/>
        </w:rPr>
        <w:t>a</w:t>
      </w:r>
      <w:r>
        <w:rPr>
          <w:rFonts w:asciiTheme="minorHAnsi" w:hAnsiTheme="minorHAnsi" w:cstheme="minorHAnsi"/>
          <w:bCs/>
          <w:sz w:val="24"/>
          <w:szCs w:val="24"/>
          <w:lang w:val="fr-FR"/>
        </w:rPr>
        <w:t xml:space="preserve"> écrit à l’institut </w:t>
      </w:r>
      <w:proofErr w:type="spellStart"/>
      <w:r>
        <w:rPr>
          <w:rFonts w:asciiTheme="minorHAnsi" w:hAnsiTheme="minorHAnsi" w:cstheme="minorHAnsi"/>
          <w:bCs/>
          <w:sz w:val="24"/>
          <w:szCs w:val="24"/>
          <w:lang w:val="fr-FR"/>
        </w:rPr>
        <w:t>M</w:t>
      </w:r>
      <w:r w:rsidR="00447DB5">
        <w:rPr>
          <w:rFonts w:asciiTheme="minorHAnsi" w:hAnsiTheme="minorHAnsi" w:cstheme="minorHAnsi"/>
          <w:bCs/>
          <w:sz w:val="24"/>
          <w:szCs w:val="24"/>
          <w:lang w:val="fr-FR"/>
        </w:rPr>
        <w:t>alvoz</w:t>
      </w:r>
      <w:proofErr w:type="spellEnd"/>
      <w:r>
        <w:rPr>
          <w:rFonts w:asciiTheme="minorHAnsi" w:hAnsiTheme="minorHAnsi" w:cstheme="minorHAnsi"/>
          <w:bCs/>
          <w:sz w:val="24"/>
          <w:szCs w:val="24"/>
          <w:lang w:val="fr-FR"/>
        </w:rPr>
        <w:t xml:space="preserve"> en précisant « </w:t>
      </w:r>
      <w:r w:rsidRPr="00447DB5">
        <w:rPr>
          <w:rFonts w:asciiTheme="minorHAnsi" w:hAnsiTheme="minorHAnsi" w:cstheme="minorHAnsi"/>
          <w:bCs/>
          <w:i/>
          <w:iCs/>
          <w:sz w:val="24"/>
          <w:szCs w:val="24"/>
          <w:lang w:val="fr-FR"/>
        </w:rPr>
        <w:t>les informations médicales en notre possession nous permet</w:t>
      </w:r>
      <w:r w:rsidR="00447DB5" w:rsidRPr="00447DB5">
        <w:rPr>
          <w:rFonts w:asciiTheme="minorHAnsi" w:hAnsiTheme="minorHAnsi" w:cstheme="minorHAnsi"/>
          <w:bCs/>
          <w:i/>
          <w:iCs/>
          <w:sz w:val="24"/>
          <w:szCs w:val="24"/>
          <w:lang w:val="fr-FR"/>
        </w:rPr>
        <w:t>tent</w:t>
      </w:r>
      <w:r w:rsidRPr="00447DB5">
        <w:rPr>
          <w:rFonts w:asciiTheme="minorHAnsi" w:hAnsiTheme="minorHAnsi" w:cstheme="minorHAnsi"/>
          <w:bCs/>
          <w:i/>
          <w:iCs/>
          <w:sz w:val="24"/>
          <w:szCs w:val="24"/>
          <w:lang w:val="fr-FR"/>
        </w:rPr>
        <w:t xml:space="preserve"> de considérer que la guérison est acquise à la date du 2 mai 2012. De votre côté, il vous appartient de fixer le taux d’invalidité permanente conservé par la victime ».</w:t>
      </w:r>
    </w:p>
    <w:p w14:paraId="19CD345C" w14:textId="705E6C5C" w:rsidR="000C446B" w:rsidRDefault="000C446B" w:rsidP="00ED1C59">
      <w:pPr>
        <w:pStyle w:val="Textebrut"/>
        <w:tabs>
          <w:tab w:val="left" w:pos="1843"/>
        </w:tabs>
        <w:jc w:val="both"/>
        <w:rPr>
          <w:rFonts w:asciiTheme="minorHAnsi" w:hAnsiTheme="minorHAnsi" w:cstheme="minorHAnsi"/>
          <w:bCs/>
          <w:sz w:val="24"/>
          <w:szCs w:val="24"/>
          <w:lang w:val="fr-FR"/>
        </w:rPr>
      </w:pPr>
    </w:p>
    <w:p w14:paraId="716FF570" w14:textId="506C60B0" w:rsidR="000C446B" w:rsidRDefault="000C446B"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Il n’y a pas eu de rapport semble-t-il établi à ce moment-là.</w:t>
      </w:r>
    </w:p>
    <w:p w14:paraId="05033319" w14:textId="66CBFB34" w:rsidR="000C446B" w:rsidRDefault="000C446B" w:rsidP="00ED1C59">
      <w:pPr>
        <w:pStyle w:val="Textebrut"/>
        <w:tabs>
          <w:tab w:val="left" w:pos="1843"/>
        </w:tabs>
        <w:jc w:val="both"/>
        <w:rPr>
          <w:rFonts w:asciiTheme="minorHAnsi" w:hAnsiTheme="minorHAnsi" w:cstheme="minorHAnsi"/>
          <w:bCs/>
          <w:sz w:val="24"/>
          <w:szCs w:val="24"/>
          <w:lang w:val="fr-FR"/>
        </w:rPr>
      </w:pPr>
    </w:p>
    <w:p w14:paraId="3A70F1C7" w14:textId="5808AC8B" w:rsidR="000C446B" w:rsidRDefault="000C446B"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8 juillet 2013</w:t>
      </w:r>
      <w:r w:rsidR="00447DB5">
        <w:rPr>
          <w:rFonts w:asciiTheme="minorHAnsi" w:hAnsiTheme="minorHAnsi" w:cstheme="minorHAnsi"/>
          <w:bCs/>
          <w:sz w:val="24"/>
          <w:szCs w:val="24"/>
          <w:lang w:val="fr-FR"/>
        </w:rPr>
        <w:t>,</w:t>
      </w:r>
      <w:r>
        <w:rPr>
          <w:rFonts w:asciiTheme="minorHAnsi" w:hAnsiTheme="minorHAnsi" w:cstheme="minorHAnsi"/>
          <w:bCs/>
          <w:sz w:val="24"/>
          <w:szCs w:val="24"/>
          <w:lang w:val="fr-FR"/>
        </w:rPr>
        <w:t xml:space="preserve"> la SA ETHIAS a adressé exactement le même courrier </w:t>
      </w:r>
      <w:r w:rsidR="00447DB5">
        <w:rPr>
          <w:rFonts w:asciiTheme="minorHAnsi" w:hAnsiTheme="minorHAnsi" w:cstheme="minorHAnsi"/>
          <w:bCs/>
          <w:sz w:val="24"/>
          <w:szCs w:val="24"/>
          <w:lang w:val="fr-FR"/>
        </w:rPr>
        <w:t>au service médical</w:t>
      </w:r>
      <w:r>
        <w:rPr>
          <w:rFonts w:asciiTheme="minorHAnsi" w:hAnsiTheme="minorHAnsi" w:cstheme="minorHAnsi"/>
          <w:bCs/>
          <w:sz w:val="24"/>
          <w:szCs w:val="24"/>
          <w:lang w:val="fr-FR"/>
        </w:rPr>
        <w:t xml:space="preserve"> EXPERTCONSULT.</w:t>
      </w:r>
    </w:p>
    <w:p w14:paraId="72A11200" w14:textId="283C72AD" w:rsidR="000C446B" w:rsidRDefault="000C446B" w:rsidP="00ED1C59">
      <w:pPr>
        <w:pStyle w:val="Textebrut"/>
        <w:tabs>
          <w:tab w:val="left" w:pos="1843"/>
        </w:tabs>
        <w:jc w:val="both"/>
        <w:rPr>
          <w:rFonts w:asciiTheme="minorHAnsi" w:hAnsiTheme="minorHAnsi" w:cstheme="minorHAnsi"/>
          <w:bCs/>
          <w:sz w:val="24"/>
          <w:szCs w:val="24"/>
          <w:lang w:val="fr-FR"/>
        </w:rPr>
      </w:pPr>
    </w:p>
    <w:p w14:paraId="4D92F856" w14:textId="09212803" w:rsidR="000C446B" w:rsidRDefault="000C446B"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30 juillet 2013</w:t>
      </w:r>
      <w:r w:rsidR="00447DB5">
        <w:rPr>
          <w:rFonts w:asciiTheme="minorHAnsi" w:hAnsiTheme="minorHAnsi" w:cstheme="minorHAnsi"/>
          <w:bCs/>
          <w:sz w:val="24"/>
          <w:szCs w:val="24"/>
          <w:lang w:val="fr-FR"/>
        </w:rPr>
        <w:t>,</w:t>
      </w:r>
      <w:r>
        <w:rPr>
          <w:rFonts w:asciiTheme="minorHAnsi" w:hAnsiTheme="minorHAnsi" w:cstheme="minorHAnsi"/>
          <w:bCs/>
          <w:sz w:val="24"/>
          <w:szCs w:val="24"/>
          <w:lang w:val="fr-FR"/>
        </w:rPr>
        <w:t xml:space="preserve"> EXPERTCONSULT </w:t>
      </w:r>
      <w:r w:rsidR="00447DB5">
        <w:rPr>
          <w:rFonts w:asciiTheme="minorHAnsi" w:hAnsiTheme="minorHAnsi" w:cstheme="minorHAnsi"/>
          <w:bCs/>
          <w:sz w:val="24"/>
          <w:szCs w:val="24"/>
          <w:lang w:val="fr-FR"/>
        </w:rPr>
        <w:t>a</w:t>
      </w:r>
      <w:r>
        <w:rPr>
          <w:rFonts w:asciiTheme="minorHAnsi" w:hAnsiTheme="minorHAnsi" w:cstheme="minorHAnsi"/>
          <w:bCs/>
          <w:sz w:val="24"/>
          <w:szCs w:val="24"/>
          <w:lang w:val="fr-FR"/>
        </w:rPr>
        <w:t xml:space="preserve"> conclu que la consolidation était acquise à partir du 2 mai 2012 sans incapacité de travail, par retour à l’état antérieur.</w:t>
      </w:r>
    </w:p>
    <w:p w14:paraId="4665B558" w14:textId="77777777" w:rsidR="000C446B" w:rsidRDefault="000C446B" w:rsidP="00ED1C59">
      <w:pPr>
        <w:pStyle w:val="Textebrut"/>
        <w:tabs>
          <w:tab w:val="left" w:pos="1843"/>
        </w:tabs>
        <w:jc w:val="both"/>
        <w:rPr>
          <w:rFonts w:asciiTheme="minorHAnsi" w:hAnsiTheme="minorHAnsi" w:cstheme="minorHAnsi"/>
          <w:bCs/>
          <w:sz w:val="24"/>
          <w:szCs w:val="24"/>
          <w:lang w:val="fr-FR"/>
        </w:rPr>
      </w:pPr>
    </w:p>
    <w:p w14:paraId="162962AE" w14:textId="74F6F528" w:rsidR="000C446B" w:rsidRDefault="000C446B"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Cette décision a été communiquée le 9 août 2013 à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Pr>
          <w:rFonts w:asciiTheme="minorHAnsi" w:hAnsiTheme="minorHAnsi" w:cstheme="minorHAnsi"/>
          <w:bCs/>
          <w:sz w:val="24"/>
          <w:szCs w:val="24"/>
          <w:lang w:val="fr-FR"/>
        </w:rPr>
        <w:t xml:space="preserve"> qui a contesté cette décision</w:t>
      </w:r>
      <w:r w:rsidR="00A0556C">
        <w:rPr>
          <w:rFonts w:asciiTheme="minorHAnsi" w:hAnsiTheme="minorHAnsi" w:cstheme="minorHAnsi"/>
          <w:bCs/>
          <w:sz w:val="24"/>
          <w:szCs w:val="24"/>
          <w:lang w:val="fr-FR"/>
        </w:rPr>
        <w:t>,</w:t>
      </w:r>
      <w:r>
        <w:rPr>
          <w:rFonts w:asciiTheme="minorHAnsi" w:hAnsiTheme="minorHAnsi" w:cstheme="minorHAnsi"/>
          <w:bCs/>
          <w:sz w:val="24"/>
          <w:szCs w:val="24"/>
          <w:lang w:val="fr-FR"/>
        </w:rPr>
        <w:t xml:space="preserve"> qui a toutefois été confirmée par EXPERTCONSULT.</w:t>
      </w:r>
    </w:p>
    <w:p w14:paraId="4F3C0649" w14:textId="77777777" w:rsidR="000C446B" w:rsidRDefault="000C446B" w:rsidP="00ED1C59">
      <w:pPr>
        <w:pStyle w:val="Textebrut"/>
        <w:tabs>
          <w:tab w:val="left" w:pos="1843"/>
        </w:tabs>
        <w:jc w:val="both"/>
        <w:rPr>
          <w:rFonts w:asciiTheme="minorHAnsi" w:hAnsiTheme="minorHAnsi" w:cstheme="minorHAnsi"/>
          <w:bCs/>
          <w:sz w:val="24"/>
          <w:szCs w:val="24"/>
          <w:lang w:val="fr-FR"/>
        </w:rPr>
      </w:pPr>
    </w:p>
    <w:p w14:paraId="3208273F" w14:textId="3309C965" w:rsidR="000C446B" w:rsidRDefault="000B28C1"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Cette décision confirmative a été notifiée par la SA ETHIAS au CHU qui notifiera à </w:t>
      </w:r>
      <w:r w:rsidR="00447DB5">
        <w:rPr>
          <w:rFonts w:asciiTheme="minorHAnsi" w:hAnsiTheme="minorHAnsi" w:cstheme="minorHAnsi"/>
          <w:bCs/>
          <w:sz w:val="24"/>
          <w:szCs w:val="24"/>
          <w:lang w:val="fr-FR"/>
        </w:rPr>
        <w:t xml:space="preserve">Madame </w:t>
      </w:r>
      <w:proofErr w:type="spellStart"/>
      <w:r w:rsidR="003C0129">
        <w:rPr>
          <w:rFonts w:asciiTheme="minorHAnsi" w:hAnsiTheme="minorHAnsi" w:cstheme="minorHAnsi"/>
          <w:bCs/>
          <w:sz w:val="24"/>
          <w:szCs w:val="24"/>
          <w:lang w:val="fr-FR"/>
        </w:rPr>
        <w:t>D</w:t>
      </w:r>
      <w:r>
        <w:rPr>
          <w:rFonts w:asciiTheme="minorHAnsi" w:hAnsiTheme="minorHAnsi" w:cstheme="minorHAnsi"/>
          <w:bCs/>
          <w:sz w:val="24"/>
          <w:szCs w:val="24"/>
          <w:lang w:val="fr-FR"/>
        </w:rPr>
        <w:t xml:space="preserve"> une</w:t>
      </w:r>
      <w:proofErr w:type="spellEnd"/>
      <w:r>
        <w:rPr>
          <w:rFonts w:asciiTheme="minorHAnsi" w:hAnsiTheme="minorHAnsi" w:cstheme="minorHAnsi"/>
          <w:bCs/>
          <w:sz w:val="24"/>
          <w:szCs w:val="24"/>
          <w:lang w:val="fr-FR"/>
        </w:rPr>
        <w:t xml:space="preserve"> décision le 30 avril 2014</w:t>
      </w:r>
      <w:r w:rsidR="00447DB5">
        <w:rPr>
          <w:rFonts w:asciiTheme="minorHAnsi" w:hAnsiTheme="minorHAnsi" w:cstheme="minorHAnsi"/>
          <w:bCs/>
          <w:sz w:val="24"/>
          <w:szCs w:val="24"/>
          <w:lang w:val="fr-FR"/>
        </w:rPr>
        <w:t>,</w:t>
      </w:r>
      <w:r>
        <w:rPr>
          <w:rFonts w:asciiTheme="minorHAnsi" w:hAnsiTheme="minorHAnsi" w:cstheme="minorHAnsi"/>
          <w:bCs/>
          <w:sz w:val="24"/>
          <w:szCs w:val="24"/>
          <w:lang w:val="fr-FR"/>
        </w:rPr>
        <w:t xml:space="preserve"> au terme de laquelle il est précisé qu’aucune rente pour invalidité permanente n’est </w:t>
      </w:r>
      <w:r w:rsidR="0065284F">
        <w:rPr>
          <w:rFonts w:asciiTheme="minorHAnsi" w:hAnsiTheme="minorHAnsi" w:cstheme="minorHAnsi"/>
          <w:bCs/>
          <w:sz w:val="24"/>
          <w:szCs w:val="24"/>
          <w:lang w:val="fr-FR"/>
        </w:rPr>
        <w:t>accordée.</w:t>
      </w:r>
    </w:p>
    <w:p w14:paraId="73601310" w14:textId="47C842C0" w:rsidR="000B28C1" w:rsidRDefault="000B28C1" w:rsidP="00ED1C59">
      <w:pPr>
        <w:pStyle w:val="Textebrut"/>
        <w:tabs>
          <w:tab w:val="left" w:pos="1843"/>
        </w:tabs>
        <w:jc w:val="both"/>
        <w:rPr>
          <w:rFonts w:asciiTheme="minorHAnsi" w:hAnsiTheme="minorHAnsi" w:cstheme="minorHAnsi"/>
          <w:bCs/>
          <w:sz w:val="24"/>
          <w:szCs w:val="24"/>
          <w:lang w:val="fr-FR"/>
        </w:rPr>
      </w:pPr>
    </w:p>
    <w:p w14:paraId="68B595FE" w14:textId="5CF8C4E6" w:rsidR="000B28C1" w:rsidRDefault="00447DB5"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000B28C1">
        <w:rPr>
          <w:rFonts w:asciiTheme="minorHAnsi" w:hAnsiTheme="minorHAnsi" w:cstheme="minorHAnsi"/>
          <w:bCs/>
          <w:sz w:val="24"/>
          <w:szCs w:val="24"/>
          <w:lang w:val="fr-FR"/>
        </w:rPr>
        <w:t xml:space="preserve"> a consulté le Docteur RENNOTTE en qualité de médecin-conseil lequel a rédigé un rapport au terme duquel il estime qu’il y a lieu de retenir un</w:t>
      </w:r>
      <w:r w:rsidR="00A0556C">
        <w:rPr>
          <w:rFonts w:asciiTheme="minorHAnsi" w:hAnsiTheme="minorHAnsi" w:cstheme="minorHAnsi"/>
          <w:bCs/>
          <w:sz w:val="24"/>
          <w:szCs w:val="24"/>
          <w:lang w:val="fr-FR"/>
        </w:rPr>
        <w:t xml:space="preserve"> taux d’</w:t>
      </w:r>
      <w:r w:rsidR="000B28C1">
        <w:rPr>
          <w:rFonts w:asciiTheme="minorHAnsi" w:hAnsiTheme="minorHAnsi" w:cstheme="minorHAnsi"/>
          <w:bCs/>
          <w:sz w:val="24"/>
          <w:szCs w:val="24"/>
          <w:lang w:val="fr-FR"/>
        </w:rPr>
        <w:t xml:space="preserve"> incapacité de 12 %.</w:t>
      </w:r>
    </w:p>
    <w:p w14:paraId="6E0CACF3" w14:textId="7753CEF3" w:rsidR="000B28C1" w:rsidRDefault="000B28C1" w:rsidP="00ED1C59">
      <w:pPr>
        <w:pStyle w:val="Textebrut"/>
        <w:tabs>
          <w:tab w:val="left" w:pos="1843"/>
        </w:tabs>
        <w:jc w:val="both"/>
        <w:rPr>
          <w:rFonts w:asciiTheme="minorHAnsi" w:hAnsiTheme="minorHAnsi" w:cstheme="minorHAnsi"/>
          <w:bCs/>
          <w:sz w:val="24"/>
          <w:szCs w:val="24"/>
          <w:lang w:val="fr-FR"/>
        </w:rPr>
      </w:pPr>
    </w:p>
    <w:p w14:paraId="65373709" w14:textId="66F9129C" w:rsidR="000B28C1" w:rsidRDefault="00447DB5"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000B28C1">
        <w:rPr>
          <w:rFonts w:asciiTheme="minorHAnsi" w:hAnsiTheme="minorHAnsi" w:cstheme="minorHAnsi"/>
          <w:bCs/>
          <w:sz w:val="24"/>
          <w:szCs w:val="24"/>
          <w:lang w:val="fr-FR"/>
        </w:rPr>
        <w:t xml:space="preserve"> a dès lors introduit une procédure devant le tribunal du travail de Liège le 12 décembre 2014.</w:t>
      </w:r>
    </w:p>
    <w:p w14:paraId="71468F49" w14:textId="3AF3E047" w:rsidR="000B28C1" w:rsidRDefault="000B28C1" w:rsidP="00ED1C59">
      <w:pPr>
        <w:pStyle w:val="Textebrut"/>
        <w:tabs>
          <w:tab w:val="left" w:pos="1843"/>
        </w:tabs>
        <w:jc w:val="both"/>
        <w:rPr>
          <w:rFonts w:asciiTheme="minorHAnsi" w:hAnsiTheme="minorHAnsi" w:cstheme="minorHAnsi"/>
          <w:bCs/>
          <w:sz w:val="24"/>
          <w:szCs w:val="24"/>
          <w:lang w:val="fr-FR"/>
        </w:rPr>
      </w:pPr>
    </w:p>
    <w:p w14:paraId="38EFC7E7" w14:textId="043A60DA" w:rsidR="000B28C1" w:rsidRDefault="000B28C1"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tribunal a désigné en qualité d’expert le Docteur G</w:t>
      </w:r>
      <w:r w:rsidR="00447DB5">
        <w:rPr>
          <w:rFonts w:asciiTheme="minorHAnsi" w:hAnsiTheme="minorHAnsi" w:cstheme="minorHAnsi"/>
          <w:bCs/>
          <w:sz w:val="24"/>
          <w:szCs w:val="24"/>
          <w:lang w:val="fr-FR"/>
        </w:rPr>
        <w:t>OD</w:t>
      </w:r>
      <w:r w:rsidR="0065284F">
        <w:rPr>
          <w:rFonts w:asciiTheme="minorHAnsi" w:hAnsiTheme="minorHAnsi" w:cstheme="minorHAnsi"/>
          <w:bCs/>
          <w:sz w:val="24"/>
          <w:szCs w:val="24"/>
          <w:lang w:val="fr-FR"/>
        </w:rPr>
        <w:t>FROI</w:t>
      </w:r>
      <w:r>
        <w:rPr>
          <w:rFonts w:asciiTheme="minorHAnsi" w:hAnsiTheme="minorHAnsi" w:cstheme="minorHAnsi"/>
          <w:bCs/>
          <w:sz w:val="24"/>
          <w:szCs w:val="24"/>
          <w:lang w:val="fr-FR"/>
        </w:rPr>
        <w:t>.</w:t>
      </w:r>
    </w:p>
    <w:p w14:paraId="29648E56" w14:textId="11B55110" w:rsidR="000B28C1" w:rsidRDefault="000B28C1" w:rsidP="00ED1C59">
      <w:pPr>
        <w:pStyle w:val="Textebrut"/>
        <w:tabs>
          <w:tab w:val="left" w:pos="1843"/>
        </w:tabs>
        <w:jc w:val="both"/>
        <w:rPr>
          <w:rFonts w:asciiTheme="minorHAnsi" w:hAnsiTheme="minorHAnsi" w:cstheme="minorHAnsi"/>
          <w:bCs/>
          <w:sz w:val="24"/>
          <w:szCs w:val="24"/>
          <w:lang w:val="fr-FR"/>
        </w:rPr>
      </w:pPr>
    </w:p>
    <w:p w14:paraId="5BF2D6CB" w14:textId="125E1A5F" w:rsidR="000B28C1" w:rsidRDefault="000B28C1"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Docteur G</w:t>
      </w:r>
      <w:r w:rsidR="0065284F">
        <w:rPr>
          <w:rFonts w:asciiTheme="minorHAnsi" w:hAnsiTheme="minorHAnsi" w:cstheme="minorHAnsi"/>
          <w:bCs/>
          <w:sz w:val="24"/>
          <w:szCs w:val="24"/>
          <w:lang w:val="fr-FR"/>
        </w:rPr>
        <w:t>ODFROI</w:t>
      </w:r>
      <w:r>
        <w:rPr>
          <w:rFonts w:asciiTheme="minorHAnsi" w:hAnsiTheme="minorHAnsi" w:cstheme="minorHAnsi"/>
          <w:bCs/>
          <w:sz w:val="24"/>
          <w:szCs w:val="24"/>
          <w:lang w:val="fr-FR"/>
        </w:rPr>
        <w:t xml:space="preserve"> a déposé un rapport au terme duquel il retient une incapacité à 100 % du 8 janvier 2012 au 11 mars 2012 et ensuite à 50 % du 12 mars 2012 au 30 avril 2012.</w:t>
      </w:r>
    </w:p>
    <w:p w14:paraId="73F381CA" w14:textId="36514E63" w:rsidR="000B28C1" w:rsidRDefault="000B28C1"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Il fixe la consolidation 1</w:t>
      </w:r>
      <w:r w:rsidRPr="000B28C1">
        <w:rPr>
          <w:rFonts w:asciiTheme="minorHAnsi" w:hAnsiTheme="minorHAnsi" w:cstheme="minorHAnsi"/>
          <w:bCs/>
          <w:sz w:val="24"/>
          <w:szCs w:val="24"/>
          <w:vertAlign w:val="superscript"/>
          <w:lang w:val="fr-FR"/>
        </w:rPr>
        <w:t>er</w:t>
      </w:r>
      <w:r>
        <w:rPr>
          <w:rFonts w:asciiTheme="minorHAnsi" w:hAnsiTheme="minorHAnsi" w:cstheme="minorHAnsi"/>
          <w:bCs/>
          <w:sz w:val="24"/>
          <w:szCs w:val="24"/>
          <w:lang w:val="fr-FR"/>
        </w:rPr>
        <w:t xml:space="preserve"> mai 2012 sans incapacité permanente, par un retour à l’évolution naturelle de l’état antérieur.</w:t>
      </w:r>
    </w:p>
    <w:p w14:paraId="68390221" w14:textId="6E13A7D8" w:rsidR="000B28C1" w:rsidRDefault="000B28C1" w:rsidP="00ED1C59">
      <w:pPr>
        <w:pStyle w:val="Textebrut"/>
        <w:tabs>
          <w:tab w:val="left" w:pos="1843"/>
        </w:tabs>
        <w:jc w:val="both"/>
        <w:rPr>
          <w:rFonts w:asciiTheme="minorHAnsi" w:hAnsiTheme="minorHAnsi" w:cstheme="minorHAnsi"/>
          <w:bCs/>
          <w:sz w:val="24"/>
          <w:szCs w:val="24"/>
          <w:lang w:val="fr-FR"/>
        </w:rPr>
      </w:pPr>
    </w:p>
    <w:p w14:paraId="031AECFA" w14:textId="0E49DEF6" w:rsidR="000B28C1" w:rsidRDefault="000B28C1"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Par jugement du 23 avril 201</w:t>
      </w:r>
      <w:r w:rsidR="0065284F">
        <w:rPr>
          <w:rFonts w:asciiTheme="minorHAnsi" w:hAnsiTheme="minorHAnsi" w:cstheme="minorHAnsi"/>
          <w:bCs/>
          <w:sz w:val="24"/>
          <w:szCs w:val="24"/>
          <w:lang w:val="fr-FR"/>
        </w:rPr>
        <w:t>8,</w:t>
      </w:r>
      <w:r>
        <w:rPr>
          <w:rFonts w:asciiTheme="minorHAnsi" w:hAnsiTheme="minorHAnsi" w:cstheme="minorHAnsi"/>
          <w:bCs/>
          <w:sz w:val="24"/>
          <w:szCs w:val="24"/>
          <w:lang w:val="fr-FR"/>
        </w:rPr>
        <w:t xml:space="preserve"> le tribunal a écarté les conclusions du rapport d’expertise et a désigné un nouvel expert à savoir le Docteur BASTINGS.</w:t>
      </w:r>
    </w:p>
    <w:p w14:paraId="4F506214" w14:textId="59CF8B9B" w:rsidR="000B28C1" w:rsidRDefault="000B28C1" w:rsidP="00ED1C59">
      <w:pPr>
        <w:pStyle w:val="Textebrut"/>
        <w:tabs>
          <w:tab w:val="left" w:pos="1843"/>
        </w:tabs>
        <w:jc w:val="both"/>
        <w:rPr>
          <w:rFonts w:asciiTheme="minorHAnsi" w:hAnsiTheme="minorHAnsi" w:cstheme="minorHAnsi"/>
          <w:bCs/>
          <w:sz w:val="24"/>
          <w:szCs w:val="24"/>
          <w:lang w:val="fr-FR"/>
        </w:rPr>
      </w:pPr>
    </w:p>
    <w:p w14:paraId="0A2B9A32" w14:textId="6028C7D0" w:rsidR="000B28C1" w:rsidRDefault="000B28C1"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L’expert a déposé ses conclusions au terme desquelles il retient :</w:t>
      </w:r>
    </w:p>
    <w:p w14:paraId="17866635" w14:textId="1A0BCB75" w:rsidR="000B28C1" w:rsidRDefault="000B28C1" w:rsidP="00ED1C59">
      <w:pPr>
        <w:pStyle w:val="Textebrut"/>
        <w:tabs>
          <w:tab w:val="left" w:pos="1843"/>
        </w:tabs>
        <w:jc w:val="both"/>
        <w:rPr>
          <w:rFonts w:asciiTheme="minorHAnsi" w:hAnsiTheme="minorHAnsi" w:cstheme="minorHAnsi"/>
          <w:bCs/>
          <w:sz w:val="24"/>
          <w:szCs w:val="24"/>
          <w:lang w:val="fr-FR"/>
        </w:rPr>
      </w:pPr>
    </w:p>
    <w:p w14:paraId="2C1119A3" w14:textId="3BAA402D" w:rsidR="000B28C1" w:rsidRDefault="000B28C1" w:rsidP="000B28C1">
      <w:pPr>
        <w:pStyle w:val="Textebrut"/>
        <w:numPr>
          <w:ilvl w:val="0"/>
          <w:numId w:val="7"/>
        </w:numPr>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100 % d’incapacité du 8/</w:t>
      </w:r>
      <w:r w:rsidR="0065284F">
        <w:rPr>
          <w:rFonts w:asciiTheme="minorHAnsi" w:hAnsiTheme="minorHAnsi" w:cstheme="minorHAnsi"/>
          <w:bCs/>
          <w:sz w:val="24"/>
          <w:szCs w:val="24"/>
          <w:lang w:val="fr-FR"/>
        </w:rPr>
        <w:t>1</w:t>
      </w:r>
      <w:r>
        <w:rPr>
          <w:rFonts w:asciiTheme="minorHAnsi" w:hAnsiTheme="minorHAnsi" w:cstheme="minorHAnsi"/>
          <w:bCs/>
          <w:sz w:val="24"/>
          <w:szCs w:val="24"/>
          <w:lang w:val="fr-FR"/>
        </w:rPr>
        <w:t>/2012 au 11/3/2012</w:t>
      </w:r>
    </w:p>
    <w:p w14:paraId="0ABDEDD7" w14:textId="0D6CC0AA" w:rsidR="000B28C1" w:rsidRDefault="000B28C1" w:rsidP="000B28C1">
      <w:pPr>
        <w:pStyle w:val="Textebrut"/>
        <w:numPr>
          <w:ilvl w:val="0"/>
          <w:numId w:val="7"/>
        </w:numPr>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50 % d’incapacité du 12/3/2012 au 30/4/2012 ;</w:t>
      </w:r>
    </w:p>
    <w:p w14:paraId="647B1481" w14:textId="782C74D8" w:rsidR="000B28C1" w:rsidRDefault="0065284F" w:rsidP="000B28C1">
      <w:pPr>
        <w:pStyle w:val="Textebrut"/>
        <w:numPr>
          <w:ilvl w:val="0"/>
          <w:numId w:val="7"/>
        </w:numPr>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lastRenderedPageBreak/>
        <w:t>Consolidation</w:t>
      </w:r>
      <w:r w:rsidR="000B28C1">
        <w:rPr>
          <w:rFonts w:asciiTheme="minorHAnsi" w:hAnsiTheme="minorHAnsi" w:cstheme="minorHAnsi"/>
          <w:bCs/>
          <w:sz w:val="24"/>
          <w:szCs w:val="24"/>
          <w:lang w:val="fr-FR"/>
        </w:rPr>
        <w:t xml:space="preserve"> le 1/5/2012 sans incapacité</w:t>
      </w:r>
      <w:r>
        <w:rPr>
          <w:rFonts w:asciiTheme="minorHAnsi" w:hAnsiTheme="minorHAnsi" w:cstheme="minorHAnsi"/>
          <w:bCs/>
          <w:sz w:val="24"/>
          <w:szCs w:val="24"/>
          <w:lang w:val="fr-FR"/>
        </w:rPr>
        <w:t xml:space="preserve"> permanente</w:t>
      </w:r>
      <w:r w:rsidR="000B28C1">
        <w:rPr>
          <w:rFonts w:asciiTheme="minorHAnsi" w:hAnsiTheme="minorHAnsi" w:cstheme="minorHAnsi"/>
          <w:bCs/>
          <w:sz w:val="24"/>
          <w:szCs w:val="24"/>
          <w:lang w:val="fr-FR"/>
        </w:rPr>
        <w:t>.</w:t>
      </w:r>
    </w:p>
    <w:p w14:paraId="56807E7B" w14:textId="1A810FE0" w:rsidR="000B28C1" w:rsidRDefault="000B28C1" w:rsidP="000B28C1">
      <w:pPr>
        <w:pStyle w:val="Textebrut"/>
        <w:tabs>
          <w:tab w:val="left" w:pos="1843"/>
        </w:tabs>
        <w:jc w:val="both"/>
        <w:rPr>
          <w:rFonts w:asciiTheme="minorHAnsi" w:hAnsiTheme="minorHAnsi" w:cstheme="minorHAnsi"/>
          <w:bCs/>
          <w:sz w:val="24"/>
          <w:szCs w:val="24"/>
          <w:lang w:val="fr-FR"/>
        </w:rPr>
      </w:pPr>
    </w:p>
    <w:p w14:paraId="644ABA06" w14:textId="041D2BFA" w:rsidR="000B28C1" w:rsidRDefault="00447DB5" w:rsidP="000B28C1">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000B28C1">
        <w:rPr>
          <w:rFonts w:asciiTheme="minorHAnsi" w:hAnsiTheme="minorHAnsi" w:cstheme="minorHAnsi"/>
          <w:bCs/>
          <w:sz w:val="24"/>
          <w:szCs w:val="24"/>
          <w:lang w:val="fr-FR"/>
        </w:rPr>
        <w:t xml:space="preserve"> conteste les conclusions du rapport d’expertise et sollicite</w:t>
      </w:r>
      <w:r w:rsidR="00A0556C">
        <w:rPr>
          <w:rFonts w:asciiTheme="minorHAnsi" w:hAnsiTheme="minorHAnsi" w:cstheme="minorHAnsi"/>
          <w:bCs/>
          <w:sz w:val="24"/>
          <w:szCs w:val="24"/>
          <w:lang w:val="fr-FR"/>
        </w:rPr>
        <w:t>,</w:t>
      </w:r>
      <w:r w:rsidR="000B28C1">
        <w:rPr>
          <w:rFonts w:asciiTheme="minorHAnsi" w:hAnsiTheme="minorHAnsi" w:cstheme="minorHAnsi"/>
          <w:bCs/>
          <w:sz w:val="24"/>
          <w:szCs w:val="24"/>
          <w:lang w:val="fr-FR"/>
        </w:rPr>
        <w:t xml:space="preserve"> à titre principal</w:t>
      </w:r>
      <w:r w:rsidR="00A0556C">
        <w:rPr>
          <w:rFonts w:asciiTheme="minorHAnsi" w:hAnsiTheme="minorHAnsi" w:cstheme="minorHAnsi"/>
          <w:bCs/>
          <w:sz w:val="24"/>
          <w:szCs w:val="24"/>
          <w:lang w:val="fr-FR"/>
        </w:rPr>
        <w:t>,</w:t>
      </w:r>
      <w:r w:rsidR="000B28C1">
        <w:rPr>
          <w:rFonts w:asciiTheme="minorHAnsi" w:hAnsiTheme="minorHAnsi" w:cstheme="minorHAnsi"/>
          <w:bCs/>
          <w:sz w:val="24"/>
          <w:szCs w:val="24"/>
          <w:lang w:val="fr-FR"/>
        </w:rPr>
        <w:t xml:space="preserve"> la reconnaissance d’un taux d’incapacité permanente partielle de 12 % et à titre subsidiaire le taux d’incapacité permanente reconnu par le MEDEX en dessous duquel l’expert ne pouvait pas aller</w:t>
      </w:r>
      <w:r w:rsidR="0065284F">
        <w:rPr>
          <w:rFonts w:asciiTheme="minorHAnsi" w:hAnsiTheme="minorHAnsi" w:cstheme="minorHAnsi"/>
          <w:bCs/>
          <w:sz w:val="24"/>
          <w:szCs w:val="24"/>
          <w:lang w:val="fr-FR"/>
        </w:rPr>
        <w:t>,</w:t>
      </w:r>
      <w:r w:rsidR="000B28C1">
        <w:rPr>
          <w:rFonts w:asciiTheme="minorHAnsi" w:hAnsiTheme="minorHAnsi" w:cstheme="minorHAnsi"/>
          <w:bCs/>
          <w:sz w:val="24"/>
          <w:szCs w:val="24"/>
          <w:lang w:val="fr-FR"/>
        </w:rPr>
        <w:t xml:space="preserve"> à savoir un taux de 6 %.</w:t>
      </w:r>
    </w:p>
    <w:p w14:paraId="11C8216A" w14:textId="45B691C9" w:rsidR="000B28C1" w:rsidRDefault="000B28C1" w:rsidP="000B28C1">
      <w:pPr>
        <w:pStyle w:val="Textebrut"/>
        <w:tabs>
          <w:tab w:val="left" w:pos="1843"/>
        </w:tabs>
        <w:jc w:val="both"/>
        <w:rPr>
          <w:rFonts w:asciiTheme="minorHAnsi" w:hAnsiTheme="minorHAnsi" w:cstheme="minorHAnsi"/>
          <w:bCs/>
          <w:sz w:val="24"/>
          <w:szCs w:val="24"/>
          <w:lang w:val="fr-FR"/>
        </w:rPr>
      </w:pPr>
    </w:p>
    <w:p w14:paraId="0803A14B" w14:textId="0E4A57B4" w:rsidR="000B28C1" w:rsidRDefault="0065284F" w:rsidP="000B28C1">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CHU</w:t>
      </w:r>
      <w:r w:rsidR="000B28C1">
        <w:rPr>
          <w:rFonts w:asciiTheme="minorHAnsi" w:hAnsiTheme="minorHAnsi" w:cstheme="minorHAnsi"/>
          <w:bCs/>
          <w:sz w:val="24"/>
          <w:szCs w:val="24"/>
          <w:lang w:val="fr-FR"/>
        </w:rPr>
        <w:t xml:space="preserve"> sollicite quant à </w:t>
      </w:r>
      <w:r>
        <w:rPr>
          <w:rFonts w:asciiTheme="minorHAnsi" w:hAnsiTheme="minorHAnsi" w:cstheme="minorHAnsi"/>
          <w:bCs/>
          <w:sz w:val="24"/>
          <w:szCs w:val="24"/>
          <w:lang w:val="fr-FR"/>
        </w:rPr>
        <w:t>lui</w:t>
      </w:r>
      <w:r w:rsidR="000B28C1">
        <w:rPr>
          <w:rFonts w:asciiTheme="minorHAnsi" w:hAnsiTheme="minorHAnsi" w:cstheme="minorHAnsi"/>
          <w:bCs/>
          <w:sz w:val="24"/>
          <w:szCs w:val="24"/>
          <w:lang w:val="fr-FR"/>
        </w:rPr>
        <w:t xml:space="preserve"> l’entérinement du rapport d’expertise.</w:t>
      </w:r>
    </w:p>
    <w:p w14:paraId="000D1307" w14:textId="109FA42D" w:rsidR="00D029AA" w:rsidRDefault="00D029AA" w:rsidP="00ED1C59">
      <w:pPr>
        <w:pStyle w:val="Textebrut"/>
        <w:tabs>
          <w:tab w:val="left" w:pos="1843"/>
        </w:tabs>
        <w:jc w:val="both"/>
        <w:rPr>
          <w:rFonts w:asciiTheme="minorHAnsi" w:hAnsiTheme="minorHAnsi" w:cstheme="minorHAnsi"/>
          <w:bCs/>
          <w:sz w:val="24"/>
          <w:szCs w:val="24"/>
          <w:lang w:val="fr-FR"/>
        </w:rPr>
      </w:pPr>
    </w:p>
    <w:p w14:paraId="0A080CA2" w14:textId="77777777" w:rsidR="003E42C0" w:rsidRDefault="000B28C1" w:rsidP="00ED1C59">
      <w:pPr>
        <w:pStyle w:val="Textebrut"/>
        <w:tabs>
          <w:tab w:val="left" w:pos="1843"/>
        </w:tabs>
        <w:jc w:val="both"/>
        <w:rPr>
          <w:rFonts w:asciiTheme="minorHAnsi" w:hAnsiTheme="minorHAnsi" w:cstheme="minorHAnsi"/>
          <w:b/>
          <w:sz w:val="24"/>
          <w:szCs w:val="24"/>
          <w:u w:val="single"/>
          <w:lang w:val="fr-FR"/>
        </w:rPr>
      </w:pPr>
      <w:r w:rsidRPr="000B28C1">
        <w:rPr>
          <w:rFonts w:asciiTheme="minorHAnsi" w:hAnsiTheme="minorHAnsi" w:cstheme="minorHAnsi"/>
          <w:b/>
          <w:sz w:val="24"/>
          <w:szCs w:val="24"/>
          <w:u w:val="single"/>
          <w:lang w:val="fr-FR"/>
        </w:rPr>
        <w:t>DISCUSSION</w:t>
      </w:r>
      <w:r w:rsidR="003E42C0">
        <w:rPr>
          <w:rFonts w:asciiTheme="minorHAnsi" w:hAnsiTheme="minorHAnsi" w:cstheme="minorHAnsi"/>
          <w:b/>
          <w:sz w:val="24"/>
          <w:szCs w:val="24"/>
          <w:u w:val="single"/>
          <w:lang w:val="fr-FR"/>
        </w:rPr>
        <w:t xml:space="preserve"> </w:t>
      </w:r>
    </w:p>
    <w:p w14:paraId="3C8C26C3" w14:textId="77777777" w:rsidR="003E42C0" w:rsidRDefault="003E42C0" w:rsidP="00ED1C59">
      <w:pPr>
        <w:pStyle w:val="Textebrut"/>
        <w:tabs>
          <w:tab w:val="left" w:pos="1843"/>
        </w:tabs>
        <w:jc w:val="both"/>
        <w:rPr>
          <w:rFonts w:asciiTheme="minorHAnsi" w:hAnsiTheme="minorHAnsi" w:cstheme="minorHAnsi"/>
          <w:b/>
          <w:sz w:val="24"/>
          <w:szCs w:val="24"/>
          <w:u w:val="single"/>
          <w:lang w:val="fr-FR"/>
        </w:rPr>
      </w:pPr>
    </w:p>
    <w:p w14:paraId="6A1A2F4D" w14:textId="491064D0" w:rsidR="003E42C0" w:rsidRDefault="0065284F"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003E42C0">
        <w:rPr>
          <w:rFonts w:asciiTheme="minorHAnsi" w:hAnsiTheme="minorHAnsi" w:cstheme="minorHAnsi"/>
          <w:bCs/>
          <w:sz w:val="24"/>
          <w:szCs w:val="24"/>
          <w:lang w:val="fr-FR"/>
        </w:rPr>
        <w:t xml:space="preserve"> estime que l’expert n’a pas tenu compte des séquelles qu’elle conservait au niveau du genou droit (enraidissement, flexum, sensation d’instabilité et d’ankylose) qui ne lui ont plus permis de réaliser l’ensemble des tâches qu’elle exécutait auparavant et notamment des activités SMUR ou d’intervention héliportée.</w:t>
      </w:r>
    </w:p>
    <w:p w14:paraId="3DF9231F" w14:textId="19C540D1" w:rsidR="003E42C0" w:rsidRDefault="003E42C0" w:rsidP="00ED1C59">
      <w:pPr>
        <w:pStyle w:val="Textebrut"/>
        <w:tabs>
          <w:tab w:val="left" w:pos="1843"/>
        </w:tabs>
        <w:jc w:val="both"/>
        <w:rPr>
          <w:rFonts w:asciiTheme="minorHAnsi" w:hAnsiTheme="minorHAnsi" w:cstheme="minorHAnsi"/>
          <w:bCs/>
          <w:sz w:val="24"/>
          <w:szCs w:val="24"/>
          <w:lang w:val="fr-FR"/>
        </w:rPr>
      </w:pPr>
    </w:p>
    <w:p w14:paraId="3F5462A0" w14:textId="25657E96" w:rsidR="003E42C0" w:rsidRDefault="003E42C0"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Elle estime que la limitation de </w:t>
      </w:r>
      <w:r w:rsidR="0065284F">
        <w:rPr>
          <w:rFonts w:asciiTheme="minorHAnsi" w:hAnsiTheme="minorHAnsi" w:cstheme="minorHAnsi"/>
          <w:bCs/>
          <w:sz w:val="24"/>
          <w:szCs w:val="24"/>
          <w:lang w:val="fr-FR"/>
        </w:rPr>
        <w:t>s</w:t>
      </w:r>
      <w:r>
        <w:rPr>
          <w:rFonts w:asciiTheme="minorHAnsi" w:hAnsiTheme="minorHAnsi" w:cstheme="minorHAnsi"/>
          <w:bCs/>
          <w:sz w:val="24"/>
          <w:szCs w:val="24"/>
          <w:lang w:val="fr-FR"/>
        </w:rPr>
        <w:t>es mouvements ne peut pas être imputée uniquement à un état antérieur évoluant pour son propre compte comme l’a indiqué l’expert.</w:t>
      </w:r>
    </w:p>
    <w:p w14:paraId="3F234DA1" w14:textId="4865E6BD" w:rsidR="003E42C0" w:rsidRDefault="003E42C0" w:rsidP="00ED1C59">
      <w:pPr>
        <w:pStyle w:val="Textebrut"/>
        <w:tabs>
          <w:tab w:val="left" w:pos="1843"/>
        </w:tabs>
        <w:jc w:val="both"/>
        <w:rPr>
          <w:rFonts w:asciiTheme="minorHAnsi" w:hAnsiTheme="minorHAnsi" w:cstheme="minorHAnsi"/>
          <w:bCs/>
          <w:sz w:val="24"/>
          <w:szCs w:val="24"/>
          <w:lang w:val="fr-FR"/>
        </w:rPr>
      </w:pPr>
    </w:p>
    <w:p w14:paraId="78C071E1" w14:textId="565FA21D" w:rsidR="0065284F" w:rsidRDefault="003E42C0"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Elle épingle </w:t>
      </w:r>
      <w:r w:rsidRPr="0065284F">
        <w:rPr>
          <w:rFonts w:asciiTheme="minorHAnsi" w:hAnsiTheme="minorHAnsi" w:cstheme="minorHAnsi"/>
          <w:bCs/>
          <w:sz w:val="24"/>
          <w:szCs w:val="24"/>
          <w:lang w:val="fr-FR"/>
        </w:rPr>
        <w:t>le fait</w:t>
      </w:r>
      <w:r>
        <w:rPr>
          <w:rFonts w:asciiTheme="minorHAnsi" w:hAnsiTheme="minorHAnsi" w:cstheme="minorHAnsi"/>
          <w:bCs/>
          <w:sz w:val="24"/>
          <w:szCs w:val="24"/>
          <w:lang w:val="fr-FR"/>
        </w:rPr>
        <w:t xml:space="preserve"> que le sapiteur ROMBOUTS </w:t>
      </w:r>
      <w:r w:rsidR="0065284F">
        <w:rPr>
          <w:rFonts w:asciiTheme="minorHAnsi" w:hAnsiTheme="minorHAnsi" w:cstheme="minorHAnsi"/>
          <w:bCs/>
          <w:sz w:val="24"/>
          <w:szCs w:val="24"/>
          <w:lang w:val="fr-FR"/>
        </w:rPr>
        <w:t>consulté par l’expert</w:t>
      </w:r>
      <w:r>
        <w:rPr>
          <w:rFonts w:asciiTheme="minorHAnsi" w:hAnsiTheme="minorHAnsi" w:cstheme="minorHAnsi"/>
          <w:bCs/>
          <w:sz w:val="24"/>
          <w:szCs w:val="24"/>
          <w:lang w:val="fr-FR"/>
        </w:rPr>
        <w:t xml:space="preserve"> </w:t>
      </w:r>
      <w:r w:rsidR="0065284F">
        <w:rPr>
          <w:rFonts w:asciiTheme="minorHAnsi" w:hAnsiTheme="minorHAnsi" w:cstheme="minorHAnsi"/>
          <w:bCs/>
          <w:sz w:val="24"/>
          <w:szCs w:val="24"/>
          <w:lang w:val="fr-FR"/>
        </w:rPr>
        <w:t>indique</w:t>
      </w:r>
      <w:r>
        <w:rPr>
          <w:rFonts w:asciiTheme="minorHAnsi" w:hAnsiTheme="minorHAnsi" w:cstheme="minorHAnsi"/>
          <w:bCs/>
          <w:sz w:val="24"/>
          <w:szCs w:val="24"/>
          <w:lang w:val="fr-FR"/>
        </w:rPr>
        <w:t xml:space="preserve"> </w:t>
      </w:r>
      <w:r w:rsidR="0065284F">
        <w:rPr>
          <w:rFonts w:asciiTheme="minorHAnsi" w:hAnsiTheme="minorHAnsi" w:cstheme="minorHAnsi"/>
          <w:bCs/>
          <w:sz w:val="24"/>
          <w:szCs w:val="24"/>
          <w:lang w:val="fr-FR"/>
        </w:rPr>
        <w:t>au point de</w:t>
      </w:r>
      <w:r>
        <w:rPr>
          <w:rFonts w:asciiTheme="minorHAnsi" w:hAnsiTheme="minorHAnsi" w:cstheme="minorHAnsi"/>
          <w:bCs/>
          <w:sz w:val="24"/>
          <w:szCs w:val="24"/>
          <w:lang w:val="fr-FR"/>
        </w:rPr>
        <w:t xml:space="preserve"> vu</w:t>
      </w:r>
      <w:r w:rsidR="0065284F">
        <w:rPr>
          <w:rFonts w:asciiTheme="minorHAnsi" w:hAnsiTheme="minorHAnsi" w:cstheme="minorHAnsi"/>
          <w:bCs/>
          <w:sz w:val="24"/>
          <w:szCs w:val="24"/>
          <w:lang w:val="fr-FR"/>
        </w:rPr>
        <w:t>e</w:t>
      </w:r>
      <w:r>
        <w:rPr>
          <w:rFonts w:asciiTheme="minorHAnsi" w:hAnsiTheme="minorHAnsi" w:cstheme="minorHAnsi"/>
          <w:bCs/>
          <w:sz w:val="24"/>
          <w:szCs w:val="24"/>
          <w:lang w:val="fr-FR"/>
        </w:rPr>
        <w:t xml:space="preserve"> strictement radiographique</w:t>
      </w:r>
      <w:r w:rsidR="00FB3EBC">
        <w:rPr>
          <w:rFonts w:asciiTheme="minorHAnsi" w:hAnsiTheme="minorHAnsi" w:cstheme="minorHAnsi"/>
          <w:bCs/>
          <w:sz w:val="24"/>
          <w:szCs w:val="24"/>
          <w:lang w:val="fr-FR"/>
        </w:rPr>
        <w:t> : «</w:t>
      </w:r>
      <w:r w:rsidR="00FB3EBC" w:rsidRPr="0065284F">
        <w:rPr>
          <w:rFonts w:asciiTheme="minorHAnsi" w:hAnsiTheme="minorHAnsi" w:cstheme="minorHAnsi"/>
          <w:bCs/>
          <w:i/>
          <w:iCs/>
          <w:sz w:val="24"/>
          <w:szCs w:val="24"/>
          <w:lang w:val="fr-FR"/>
        </w:rPr>
        <w:t xml:space="preserve"> Pas</w:t>
      </w:r>
      <w:r w:rsidRPr="0065284F">
        <w:rPr>
          <w:rFonts w:asciiTheme="minorHAnsi" w:hAnsiTheme="minorHAnsi" w:cstheme="minorHAnsi"/>
          <w:bCs/>
          <w:i/>
          <w:iCs/>
          <w:sz w:val="24"/>
          <w:szCs w:val="24"/>
          <w:lang w:val="fr-FR"/>
        </w:rPr>
        <w:t xml:space="preserve"> de rupture dans la courbe d’évolution radiographique du genou qui puisse être attribué à l’accident</w:t>
      </w:r>
      <w:r>
        <w:rPr>
          <w:rFonts w:asciiTheme="minorHAnsi" w:hAnsiTheme="minorHAnsi" w:cstheme="minorHAnsi"/>
          <w:bCs/>
          <w:sz w:val="24"/>
          <w:szCs w:val="24"/>
          <w:lang w:val="fr-FR"/>
        </w:rPr>
        <w:t xml:space="preserve"> » mais que cette observation ne concerne que le pan radiographique et non clinique. </w:t>
      </w:r>
    </w:p>
    <w:p w14:paraId="0851C4EB" w14:textId="5D580CC4" w:rsidR="003E42C0" w:rsidRDefault="003E42C0"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Elle souligne que lors de la réunion d’expertise du 6 mars 2020 l’expert a relevé des limitations dans les mouvements ainsi que des douleurs au niveau du membre inférieur droit et plus particulièrement au niveau du genou, que l’examen clinique a objectivé et corroboré s</w:t>
      </w:r>
      <w:r w:rsidR="0065284F">
        <w:rPr>
          <w:rFonts w:asciiTheme="minorHAnsi" w:hAnsiTheme="minorHAnsi" w:cstheme="minorHAnsi"/>
          <w:bCs/>
          <w:sz w:val="24"/>
          <w:szCs w:val="24"/>
          <w:lang w:val="fr-FR"/>
        </w:rPr>
        <w:t>es</w:t>
      </w:r>
      <w:r>
        <w:rPr>
          <w:rFonts w:asciiTheme="minorHAnsi" w:hAnsiTheme="minorHAnsi" w:cstheme="minorHAnsi"/>
          <w:bCs/>
          <w:sz w:val="24"/>
          <w:szCs w:val="24"/>
          <w:lang w:val="fr-FR"/>
        </w:rPr>
        <w:t xml:space="preserve"> plainte</w:t>
      </w:r>
      <w:r w:rsidR="0065284F">
        <w:rPr>
          <w:rFonts w:asciiTheme="minorHAnsi" w:hAnsiTheme="minorHAnsi" w:cstheme="minorHAnsi"/>
          <w:bCs/>
          <w:sz w:val="24"/>
          <w:szCs w:val="24"/>
          <w:lang w:val="fr-FR"/>
        </w:rPr>
        <w:t>s</w:t>
      </w:r>
      <w:r>
        <w:rPr>
          <w:rFonts w:asciiTheme="minorHAnsi" w:hAnsiTheme="minorHAnsi" w:cstheme="minorHAnsi"/>
          <w:bCs/>
          <w:sz w:val="24"/>
          <w:szCs w:val="24"/>
          <w:lang w:val="fr-FR"/>
        </w:rPr>
        <w:t xml:space="preserve"> exprim</w:t>
      </w:r>
      <w:r w:rsidR="0065284F">
        <w:rPr>
          <w:rFonts w:asciiTheme="minorHAnsi" w:hAnsiTheme="minorHAnsi" w:cstheme="minorHAnsi"/>
          <w:bCs/>
          <w:sz w:val="24"/>
          <w:szCs w:val="24"/>
          <w:lang w:val="fr-FR"/>
        </w:rPr>
        <w:t>ées</w:t>
      </w:r>
      <w:r>
        <w:rPr>
          <w:rFonts w:asciiTheme="minorHAnsi" w:hAnsiTheme="minorHAnsi" w:cstheme="minorHAnsi"/>
          <w:bCs/>
          <w:sz w:val="24"/>
          <w:szCs w:val="24"/>
          <w:lang w:val="fr-FR"/>
        </w:rPr>
        <w:t xml:space="preserve"> depuis la survenance de l’accident.</w:t>
      </w:r>
    </w:p>
    <w:p w14:paraId="05FBBDC4" w14:textId="25ABCE30" w:rsidR="003E42C0" w:rsidRDefault="003E42C0" w:rsidP="00ED1C59">
      <w:pPr>
        <w:pStyle w:val="Textebrut"/>
        <w:tabs>
          <w:tab w:val="left" w:pos="1843"/>
        </w:tabs>
        <w:jc w:val="both"/>
        <w:rPr>
          <w:rFonts w:asciiTheme="minorHAnsi" w:hAnsiTheme="minorHAnsi" w:cstheme="minorHAnsi"/>
          <w:bCs/>
          <w:sz w:val="24"/>
          <w:szCs w:val="24"/>
          <w:lang w:val="fr-FR"/>
        </w:rPr>
      </w:pPr>
    </w:p>
    <w:p w14:paraId="0BB534B2" w14:textId="77777777" w:rsidR="00A0556C" w:rsidRDefault="003E42C0"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Elle</w:t>
      </w:r>
      <w:r w:rsidR="0065284F">
        <w:rPr>
          <w:rFonts w:asciiTheme="minorHAnsi" w:hAnsiTheme="minorHAnsi" w:cstheme="minorHAnsi"/>
          <w:bCs/>
          <w:sz w:val="24"/>
          <w:szCs w:val="24"/>
          <w:lang w:val="fr-FR"/>
        </w:rPr>
        <w:t xml:space="preserve"> indique</w:t>
      </w:r>
      <w:r>
        <w:rPr>
          <w:rFonts w:asciiTheme="minorHAnsi" w:hAnsiTheme="minorHAnsi" w:cstheme="minorHAnsi"/>
          <w:bCs/>
          <w:sz w:val="24"/>
          <w:szCs w:val="24"/>
          <w:lang w:val="fr-FR"/>
        </w:rPr>
        <w:t xml:space="preserve"> qu’elle a dû</w:t>
      </w:r>
      <w:r w:rsidR="0065284F">
        <w:rPr>
          <w:rFonts w:asciiTheme="minorHAnsi" w:hAnsiTheme="minorHAnsi" w:cstheme="minorHAnsi"/>
          <w:bCs/>
          <w:sz w:val="24"/>
          <w:szCs w:val="24"/>
          <w:lang w:val="fr-FR"/>
        </w:rPr>
        <w:t>,</w:t>
      </w:r>
      <w:r>
        <w:rPr>
          <w:rFonts w:asciiTheme="minorHAnsi" w:hAnsiTheme="minorHAnsi" w:cstheme="minorHAnsi"/>
          <w:bCs/>
          <w:sz w:val="24"/>
          <w:szCs w:val="24"/>
          <w:lang w:val="fr-FR"/>
        </w:rPr>
        <w:t xml:space="preserve"> après l’accident</w:t>
      </w:r>
      <w:r w:rsidR="0065284F">
        <w:rPr>
          <w:rFonts w:asciiTheme="minorHAnsi" w:hAnsiTheme="minorHAnsi" w:cstheme="minorHAnsi"/>
          <w:bCs/>
          <w:sz w:val="24"/>
          <w:szCs w:val="24"/>
          <w:lang w:val="fr-FR"/>
        </w:rPr>
        <w:t>,</w:t>
      </w:r>
      <w:r>
        <w:rPr>
          <w:rFonts w:asciiTheme="minorHAnsi" w:hAnsiTheme="minorHAnsi" w:cstheme="minorHAnsi"/>
          <w:bCs/>
          <w:sz w:val="24"/>
          <w:szCs w:val="24"/>
          <w:lang w:val="fr-FR"/>
        </w:rPr>
        <w:t xml:space="preserve"> arrêt</w:t>
      </w:r>
      <w:r w:rsidR="0065284F">
        <w:rPr>
          <w:rFonts w:asciiTheme="minorHAnsi" w:hAnsiTheme="minorHAnsi" w:cstheme="minorHAnsi"/>
          <w:bCs/>
          <w:sz w:val="24"/>
          <w:szCs w:val="24"/>
          <w:lang w:val="fr-FR"/>
        </w:rPr>
        <w:t>er</w:t>
      </w:r>
      <w:r>
        <w:rPr>
          <w:rFonts w:asciiTheme="minorHAnsi" w:hAnsiTheme="minorHAnsi" w:cstheme="minorHAnsi"/>
          <w:bCs/>
          <w:sz w:val="24"/>
          <w:szCs w:val="24"/>
          <w:lang w:val="fr-FR"/>
        </w:rPr>
        <w:t xml:space="preserve"> la pratique sportive et que E</w:t>
      </w:r>
      <w:r w:rsidR="0065284F">
        <w:rPr>
          <w:rFonts w:asciiTheme="minorHAnsi" w:hAnsiTheme="minorHAnsi" w:cstheme="minorHAnsi"/>
          <w:bCs/>
          <w:sz w:val="24"/>
          <w:szCs w:val="24"/>
          <w:lang w:val="fr-FR"/>
        </w:rPr>
        <w:t>THIAS</w:t>
      </w:r>
      <w:r>
        <w:rPr>
          <w:rFonts w:asciiTheme="minorHAnsi" w:hAnsiTheme="minorHAnsi" w:cstheme="minorHAnsi"/>
          <w:bCs/>
          <w:sz w:val="24"/>
          <w:szCs w:val="24"/>
          <w:lang w:val="fr-FR"/>
        </w:rPr>
        <w:t xml:space="preserve"> a mandaté un détective privé pour enquêter sur ses pratiques extras professionnelles et sportives et que cette enquête n’a fait que démontrer</w:t>
      </w:r>
      <w:r w:rsidR="00E20A46">
        <w:rPr>
          <w:rFonts w:asciiTheme="minorHAnsi" w:hAnsiTheme="minorHAnsi" w:cstheme="minorHAnsi"/>
          <w:bCs/>
          <w:sz w:val="24"/>
          <w:szCs w:val="24"/>
          <w:lang w:val="fr-FR"/>
        </w:rPr>
        <w:t xml:space="preserve"> que lesdites activités sportives</w:t>
      </w:r>
      <w:r w:rsidR="0065284F">
        <w:rPr>
          <w:rFonts w:asciiTheme="minorHAnsi" w:hAnsiTheme="minorHAnsi" w:cstheme="minorHAnsi"/>
          <w:bCs/>
          <w:sz w:val="24"/>
          <w:szCs w:val="24"/>
          <w:lang w:val="fr-FR"/>
        </w:rPr>
        <w:t>,</w:t>
      </w:r>
      <w:r w:rsidR="00E20A46">
        <w:rPr>
          <w:rFonts w:asciiTheme="minorHAnsi" w:hAnsiTheme="minorHAnsi" w:cstheme="minorHAnsi"/>
          <w:bCs/>
          <w:sz w:val="24"/>
          <w:szCs w:val="24"/>
          <w:lang w:val="fr-FR"/>
        </w:rPr>
        <w:t xml:space="preserve"> qui étaient poursuivies de manière régulière et assidue</w:t>
      </w:r>
      <w:r w:rsidR="0065284F">
        <w:rPr>
          <w:rFonts w:asciiTheme="minorHAnsi" w:hAnsiTheme="minorHAnsi" w:cstheme="minorHAnsi"/>
          <w:bCs/>
          <w:sz w:val="24"/>
          <w:szCs w:val="24"/>
          <w:lang w:val="fr-FR"/>
        </w:rPr>
        <w:t>,</w:t>
      </w:r>
      <w:r w:rsidR="00E20A46">
        <w:rPr>
          <w:rFonts w:asciiTheme="minorHAnsi" w:hAnsiTheme="minorHAnsi" w:cstheme="minorHAnsi"/>
          <w:bCs/>
          <w:sz w:val="24"/>
          <w:szCs w:val="24"/>
          <w:lang w:val="fr-FR"/>
        </w:rPr>
        <w:t xml:space="preserve"> ont dû être arrêtées après l’accident. </w:t>
      </w:r>
    </w:p>
    <w:p w14:paraId="179CEFFB" w14:textId="77777777" w:rsidR="00A0556C" w:rsidRDefault="00A0556C" w:rsidP="00ED1C59">
      <w:pPr>
        <w:pStyle w:val="Textebrut"/>
        <w:tabs>
          <w:tab w:val="left" w:pos="1843"/>
        </w:tabs>
        <w:jc w:val="both"/>
        <w:rPr>
          <w:rFonts w:asciiTheme="minorHAnsi" w:hAnsiTheme="minorHAnsi" w:cstheme="minorHAnsi"/>
          <w:bCs/>
          <w:sz w:val="24"/>
          <w:szCs w:val="24"/>
          <w:lang w:val="fr-FR"/>
        </w:rPr>
      </w:pPr>
    </w:p>
    <w:p w14:paraId="4B11D3F0" w14:textId="41B353A6" w:rsidR="003E42C0" w:rsidRDefault="00E20A46"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Elle précise que même si les séquelles devaient être qualifiées de purement subjectives, il </w:t>
      </w:r>
      <w:r w:rsidR="0065284F">
        <w:rPr>
          <w:rFonts w:asciiTheme="minorHAnsi" w:hAnsiTheme="minorHAnsi" w:cstheme="minorHAnsi"/>
          <w:bCs/>
          <w:sz w:val="24"/>
          <w:szCs w:val="24"/>
          <w:lang w:val="fr-FR"/>
        </w:rPr>
        <w:t xml:space="preserve">y a </w:t>
      </w:r>
      <w:r>
        <w:rPr>
          <w:rFonts w:asciiTheme="minorHAnsi" w:hAnsiTheme="minorHAnsi" w:cstheme="minorHAnsi"/>
          <w:bCs/>
          <w:sz w:val="24"/>
          <w:szCs w:val="24"/>
          <w:lang w:val="fr-FR"/>
        </w:rPr>
        <w:t>néanmoins de</w:t>
      </w:r>
      <w:r w:rsidR="0065284F">
        <w:rPr>
          <w:rFonts w:asciiTheme="minorHAnsi" w:hAnsiTheme="minorHAnsi" w:cstheme="minorHAnsi"/>
          <w:bCs/>
          <w:sz w:val="24"/>
          <w:szCs w:val="24"/>
          <w:lang w:val="fr-FR"/>
        </w:rPr>
        <w:t>s</w:t>
      </w:r>
      <w:r>
        <w:rPr>
          <w:rFonts w:asciiTheme="minorHAnsi" w:hAnsiTheme="minorHAnsi" w:cstheme="minorHAnsi"/>
          <w:bCs/>
          <w:sz w:val="24"/>
          <w:szCs w:val="24"/>
          <w:lang w:val="fr-FR"/>
        </w:rPr>
        <w:t xml:space="preserve"> séquelles qui doivent être retenues et quantifiées</w:t>
      </w:r>
      <w:r w:rsidR="0065284F">
        <w:rPr>
          <w:rFonts w:asciiTheme="minorHAnsi" w:hAnsiTheme="minorHAnsi" w:cstheme="minorHAnsi"/>
          <w:bCs/>
          <w:sz w:val="24"/>
          <w:szCs w:val="24"/>
          <w:lang w:val="fr-FR"/>
        </w:rPr>
        <w:t>,</w:t>
      </w:r>
      <w:r>
        <w:rPr>
          <w:rFonts w:asciiTheme="minorHAnsi" w:hAnsiTheme="minorHAnsi" w:cstheme="minorHAnsi"/>
          <w:bCs/>
          <w:sz w:val="24"/>
          <w:szCs w:val="24"/>
          <w:lang w:val="fr-FR"/>
        </w:rPr>
        <w:t xml:space="preserve"> ce qui a d’ailleurs été précisé par le MEDEX qui a fixé un taux d’IPP de 6 %.</w:t>
      </w:r>
    </w:p>
    <w:p w14:paraId="302EB690" w14:textId="0B1E7AD9" w:rsidR="00E20A46" w:rsidRDefault="00E20A46" w:rsidP="00ED1C59">
      <w:pPr>
        <w:pStyle w:val="Textebrut"/>
        <w:tabs>
          <w:tab w:val="left" w:pos="1843"/>
        </w:tabs>
        <w:jc w:val="both"/>
        <w:rPr>
          <w:rFonts w:asciiTheme="minorHAnsi" w:hAnsiTheme="minorHAnsi" w:cstheme="minorHAnsi"/>
          <w:bCs/>
          <w:sz w:val="24"/>
          <w:szCs w:val="24"/>
          <w:lang w:val="fr-FR"/>
        </w:rPr>
      </w:pPr>
    </w:p>
    <w:p w14:paraId="57A60258" w14:textId="17708BBF" w:rsidR="00E20A46" w:rsidRDefault="00447DB5"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00E20A46">
        <w:rPr>
          <w:rFonts w:asciiTheme="minorHAnsi" w:hAnsiTheme="minorHAnsi" w:cstheme="minorHAnsi"/>
          <w:bCs/>
          <w:sz w:val="24"/>
          <w:szCs w:val="24"/>
          <w:lang w:val="fr-FR"/>
        </w:rPr>
        <w:t xml:space="preserve"> sur base de l’avis de son médecin-conseil le Docteur RENNOTTE, avis déjà exprimé lors de l’introduction de la présente procédure et soutenu dans le cadre de l’expertise</w:t>
      </w:r>
      <w:r w:rsidR="0065284F">
        <w:rPr>
          <w:rFonts w:asciiTheme="minorHAnsi" w:hAnsiTheme="minorHAnsi" w:cstheme="minorHAnsi"/>
          <w:bCs/>
          <w:sz w:val="24"/>
          <w:szCs w:val="24"/>
          <w:lang w:val="fr-FR"/>
        </w:rPr>
        <w:t>,</w:t>
      </w:r>
      <w:r w:rsidR="00E20A46">
        <w:rPr>
          <w:rFonts w:asciiTheme="minorHAnsi" w:hAnsiTheme="minorHAnsi" w:cstheme="minorHAnsi"/>
          <w:bCs/>
          <w:sz w:val="24"/>
          <w:szCs w:val="24"/>
          <w:lang w:val="fr-FR"/>
        </w:rPr>
        <w:t xml:space="preserve"> sollicite que le taux d’incapacité permanente partielle soit fixé à 12 %. </w:t>
      </w:r>
    </w:p>
    <w:p w14:paraId="32BCABDC" w14:textId="77777777" w:rsidR="00E20A46" w:rsidRDefault="00E20A46" w:rsidP="00ED1C59">
      <w:pPr>
        <w:pStyle w:val="Textebrut"/>
        <w:tabs>
          <w:tab w:val="left" w:pos="1843"/>
        </w:tabs>
        <w:jc w:val="both"/>
        <w:rPr>
          <w:rFonts w:asciiTheme="minorHAnsi" w:hAnsiTheme="minorHAnsi" w:cstheme="minorHAnsi"/>
          <w:bCs/>
          <w:sz w:val="24"/>
          <w:szCs w:val="24"/>
          <w:lang w:val="fr-FR"/>
        </w:rPr>
      </w:pPr>
    </w:p>
    <w:p w14:paraId="2B5B83B7" w14:textId="509D82D5" w:rsidR="00E20A46" w:rsidRDefault="00E20A46"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À titre subsidiaire</w:t>
      </w:r>
      <w:r w:rsidR="00A0556C">
        <w:rPr>
          <w:rFonts w:asciiTheme="minorHAnsi" w:hAnsiTheme="minorHAnsi" w:cstheme="minorHAnsi"/>
          <w:bCs/>
          <w:sz w:val="24"/>
          <w:szCs w:val="24"/>
          <w:lang w:val="fr-FR"/>
        </w:rPr>
        <w:t>,</w:t>
      </w:r>
      <w:r>
        <w:rPr>
          <w:rFonts w:asciiTheme="minorHAnsi" w:hAnsiTheme="minorHAnsi" w:cstheme="minorHAnsi"/>
          <w:bCs/>
          <w:sz w:val="24"/>
          <w:szCs w:val="24"/>
          <w:lang w:val="fr-FR"/>
        </w:rPr>
        <w:t xml:space="preserve">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Pr>
          <w:rFonts w:asciiTheme="minorHAnsi" w:hAnsiTheme="minorHAnsi" w:cstheme="minorHAnsi"/>
          <w:bCs/>
          <w:sz w:val="24"/>
          <w:szCs w:val="24"/>
          <w:lang w:val="fr-FR"/>
        </w:rPr>
        <w:t xml:space="preserve"> estime que le rapport d’expertise rédigé le 13 février 2013 par le MEDEX a un caractère contraignant et que dès lors à tout le </w:t>
      </w:r>
      <w:r w:rsidR="0065284F">
        <w:rPr>
          <w:rFonts w:asciiTheme="minorHAnsi" w:hAnsiTheme="minorHAnsi" w:cstheme="minorHAnsi"/>
          <w:bCs/>
          <w:sz w:val="24"/>
          <w:szCs w:val="24"/>
          <w:lang w:val="fr-FR"/>
        </w:rPr>
        <w:t>moins un</w:t>
      </w:r>
      <w:r>
        <w:rPr>
          <w:rFonts w:asciiTheme="minorHAnsi" w:hAnsiTheme="minorHAnsi" w:cstheme="minorHAnsi"/>
          <w:bCs/>
          <w:sz w:val="24"/>
          <w:szCs w:val="24"/>
          <w:lang w:val="fr-FR"/>
        </w:rPr>
        <w:t xml:space="preserve"> taux de 6 % minimum devait lui être reconnu.</w:t>
      </w:r>
    </w:p>
    <w:p w14:paraId="7BB22BF8" w14:textId="7D4DB5BD" w:rsidR="00E20A46" w:rsidRDefault="00E20A46" w:rsidP="00ED1C59">
      <w:pPr>
        <w:pStyle w:val="Textebrut"/>
        <w:tabs>
          <w:tab w:val="left" w:pos="1843"/>
        </w:tabs>
        <w:jc w:val="both"/>
        <w:rPr>
          <w:rFonts w:asciiTheme="minorHAnsi" w:hAnsiTheme="minorHAnsi" w:cstheme="minorHAnsi"/>
          <w:bCs/>
          <w:sz w:val="24"/>
          <w:szCs w:val="24"/>
          <w:lang w:val="fr-FR"/>
        </w:rPr>
      </w:pPr>
    </w:p>
    <w:p w14:paraId="2941FC30" w14:textId="33704627" w:rsidR="00E20A46" w:rsidRDefault="0065284F"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CHU</w:t>
      </w:r>
      <w:r w:rsidR="00E20A46">
        <w:rPr>
          <w:rFonts w:asciiTheme="minorHAnsi" w:hAnsiTheme="minorHAnsi" w:cstheme="minorHAnsi"/>
          <w:bCs/>
          <w:sz w:val="24"/>
          <w:szCs w:val="24"/>
          <w:lang w:val="fr-FR"/>
        </w:rPr>
        <w:t xml:space="preserve"> estime</w:t>
      </w:r>
      <w:r>
        <w:rPr>
          <w:rFonts w:asciiTheme="minorHAnsi" w:hAnsiTheme="minorHAnsi" w:cstheme="minorHAnsi"/>
          <w:bCs/>
          <w:sz w:val="24"/>
          <w:szCs w:val="24"/>
          <w:lang w:val="fr-FR"/>
        </w:rPr>
        <w:t>,</w:t>
      </w:r>
      <w:r w:rsidR="00E20A46">
        <w:rPr>
          <w:rFonts w:asciiTheme="minorHAnsi" w:hAnsiTheme="minorHAnsi" w:cstheme="minorHAnsi"/>
          <w:bCs/>
          <w:sz w:val="24"/>
          <w:szCs w:val="24"/>
          <w:lang w:val="fr-FR"/>
        </w:rPr>
        <w:t xml:space="preserve"> quant à </w:t>
      </w:r>
      <w:r>
        <w:rPr>
          <w:rFonts w:asciiTheme="minorHAnsi" w:hAnsiTheme="minorHAnsi" w:cstheme="minorHAnsi"/>
          <w:bCs/>
          <w:sz w:val="24"/>
          <w:szCs w:val="24"/>
          <w:lang w:val="fr-FR"/>
        </w:rPr>
        <w:t>lui,</w:t>
      </w:r>
      <w:r w:rsidR="00E20A46">
        <w:rPr>
          <w:rFonts w:asciiTheme="minorHAnsi" w:hAnsiTheme="minorHAnsi" w:cstheme="minorHAnsi"/>
          <w:bCs/>
          <w:sz w:val="24"/>
          <w:szCs w:val="24"/>
          <w:lang w:val="fr-FR"/>
        </w:rPr>
        <w:t xml:space="preserve"> tout d’abord que l’expert a parfaitement répondu à la mission qui lui était impartie, </w:t>
      </w:r>
      <w:r w:rsidR="00A0556C">
        <w:rPr>
          <w:rFonts w:asciiTheme="minorHAnsi" w:hAnsiTheme="minorHAnsi" w:cstheme="minorHAnsi"/>
          <w:bCs/>
          <w:sz w:val="24"/>
          <w:szCs w:val="24"/>
          <w:lang w:val="fr-FR"/>
        </w:rPr>
        <w:t>il</w:t>
      </w:r>
      <w:r w:rsidR="00E20A46">
        <w:rPr>
          <w:rFonts w:asciiTheme="minorHAnsi" w:hAnsiTheme="minorHAnsi" w:cstheme="minorHAnsi"/>
          <w:bCs/>
          <w:sz w:val="24"/>
          <w:szCs w:val="24"/>
          <w:lang w:val="fr-FR"/>
        </w:rPr>
        <w:t xml:space="preserve"> souligne que l’expert judiciaire a précisé que la limitation des </w:t>
      </w:r>
      <w:r w:rsidR="00E20A46">
        <w:rPr>
          <w:rFonts w:asciiTheme="minorHAnsi" w:hAnsiTheme="minorHAnsi" w:cstheme="minorHAnsi"/>
          <w:bCs/>
          <w:sz w:val="24"/>
          <w:szCs w:val="24"/>
          <w:lang w:val="fr-FR"/>
        </w:rPr>
        <w:lastRenderedPageBreak/>
        <w:t>extensions du genou qui a pu être constaté</w:t>
      </w:r>
      <w:r>
        <w:rPr>
          <w:rFonts w:asciiTheme="minorHAnsi" w:hAnsiTheme="minorHAnsi" w:cstheme="minorHAnsi"/>
          <w:bCs/>
          <w:sz w:val="24"/>
          <w:szCs w:val="24"/>
          <w:lang w:val="fr-FR"/>
        </w:rPr>
        <w:t>e</w:t>
      </w:r>
      <w:r w:rsidR="00E20A46">
        <w:rPr>
          <w:rFonts w:asciiTheme="minorHAnsi" w:hAnsiTheme="minorHAnsi" w:cstheme="minorHAnsi"/>
          <w:bCs/>
          <w:sz w:val="24"/>
          <w:szCs w:val="24"/>
          <w:lang w:val="fr-FR"/>
        </w:rPr>
        <w:t xml:space="preserve"> lors de l’examen clinique est tout à fait caractéristique de l’évolution d’une gonarthrose </w:t>
      </w:r>
      <w:r>
        <w:rPr>
          <w:rFonts w:asciiTheme="minorHAnsi" w:hAnsiTheme="minorHAnsi" w:cstheme="minorHAnsi"/>
          <w:bCs/>
          <w:sz w:val="24"/>
          <w:szCs w:val="24"/>
          <w:lang w:val="fr-FR"/>
        </w:rPr>
        <w:t xml:space="preserve">et ce </w:t>
      </w:r>
      <w:r w:rsidR="00E20A46">
        <w:rPr>
          <w:rFonts w:asciiTheme="minorHAnsi" w:hAnsiTheme="minorHAnsi" w:cstheme="minorHAnsi"/>
          <w:bCs/>
          <w:sz w:val="24"/>
          <w:szCs w:val="24"/>
          <w:lang w:val="fr-FR"/>
        </w:rPr>
        <w:t>indépendamment de tout phénomène traumatique.</w:t>
      </w:r>
    </w:p>
    <w:p w14:paraId="6D423447" w14:textId="1FDC7860" w:rsidR="00E20A46" w:rsidRDefault="00E20A46" w:rsidP="00ED1C59">
      <w:pPr>
        <w:pStyle w:val="Textebrut"/>
        <w:tabs>
          <w:tab w:val="left" w:pos="1843"/>
        </w:tabs>
        <w:jc w:val="both"/>
        <w:rPr>
          <w:rFonts w:asciiTheme="minorHAnsi" w:hAnsiTheme="minorHAnsi" w:cstheme="minorHAnsi"/>
          <w:bCs/>
          <w:sz w:val="24"/>
          <w:szCs w:val="24"/>
          <w:lang w:val="fr-FR"/>
        </w:rPr>
      </w:pPr>
    </w:p>
    <w:p w14:paraId="6802BE62" w14:textId="30652D47" w:rsidR="00E20A46" w:rsidRDefault="0065284F"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CHU</w:t>
      </w:r>
      <w:r w:rsidR="00E20A46">
        <w:rPr>
          <w:rFonts w:asciiTheme="minorHAnsi" w:hAnsiTheme="minorHAnsi" w:cstheme="minorHAnsi"/>
          <w:bCs/>
          <w:sz w:val="24"/>
          <w:szCs w:val="24"/>
          <w:lang w:val="fr-FR"/>
        </w:rPr>
        <w:t xml:space="preserve"> souligne que l’expert a fait appel à un sapiteur à savoir le professeur ROMBOUTS et que c’est sur base des constatations faites par ce dernier également que l’expert a conclu qu’il n’y avait pas lieu de retenir un taux d’incapacité permanente partielle dès lors qu’il y avait un retour à l’état antérieur qui  évolu</w:t>
      </w:r>
      <w:r>
        <w:rPr>
          <w:rFonts w:asciiTheme="minorHAnsi" w:hAnsiTheme="minorHAnsi" w:cstheme="minorHAnsi"/>
          <w:bCs/>
          <w:sz w:val="24"/>
          <w:szCs w:val="24"/>
          <w:lang w:val="fr-FR"/>
        </w:rPr>
        <w:t>ait</w:t>
      </w:r>
      <w:r w:rsidR="00E20A46">
        <w:rPr>
          <w:rFonts w:asciiTheme="minorHAnsi" w:hAnsiTheme="minorHAnsi" w:cstheme="minorHAnsi"/>
          <w:bCs/>
          <w:sz w:val="24"/>
          <w:szCs w:val="24"/>
          <w:lang w:val="fr-FR"/>
        </w:rPr>
        <w:t xml:space="preserve"> pour son propre compte.</w:t>
      </w:r>
    </w:p>
    <w:p w14:paraId="36190FF4" w14:textId="7A85E292" w:rsidR="00E20A46" w:rsidRDefault="00E20A46" w:rsidP="00ED1C59">
      <w:pPr>
        <w:pStyle w:val="Textebrut"/>
        <w:tabs>
          <w:tab w:val="left" w:pos="1843"/>
        </w:tabs>
        <w:jc w:val="both"/>
        <w:rPr>
          <w:rFonts w:asciiTheme="minorHAnsi" w:hAnsiTheme="minorHAnsi" w:cstheme="minorHAnsi"/>
          <w:bCs/>
          <w:sz w:val="24"/>
          <w:szCs w:val="24"/>
          <w:lang w:val="fr-FR"/>
        </w:rPr>
      </w:pPr>
    </w:p>
    <w:p w14:paraId="79F1AD08" w14:textId="33E545E0" w:rsidR="00E20A46" w:rsidRDefault="0065284F"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CHU</w:t>
      </w:r>
      <w:r w:rsidR="00E20A46">
        <w:rPr>
          <w:rFonts w:asciiTheme="minorHAnsi" w:hAnsiTheme="minorHAnsi" w:cstheme="minorHAnsi"/>
          <w:bCs/>
          <w:sz w:val="24"/>
          <w:szCs w:val="24"/>
          <w:lang w:val="fr-FR"/>
        </w:rPr>
        <w:t xml:space="preserve"> estime que l’interprétation donnée par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00E20A46">
        <w:rPr>
          <w:rFonts w:asciiTheme="minorHAnsi" w:hAnsiTheme="minorHAnsi" w:cstheme="minorHAnsi"/>
          <w:bCs/>
          <w:sz w:val="24"/>
          <w:szCs w:val="24"/>
          <w:lang w:val="fr-FR"/>
        </w:rPr>
        <w:t xml:space="preserve"> </w:t>
      </w:r>
      <w:r w:rsidR="00A0556C">
        <w:rPr>
          <w:rFonts w:asciiTheme="minorHAnsi" w:hAnsiTheme="minorHAnsi" w:cstheme="minorHAnsi"/>
          <w:bCs/>
          <w:sz w:val="24"/>
          <w:szCs w:val="24"/>
          <w:lang w:val="fr-FR"/>
        </w:rPr>
        <w:t>d</w:t>
      </w:r>
      <w:r w:rsidR="00E20A46">
        <w:rPr>
          <w:rFonts w:asciiTheme="minorHAnsi" w:hAnsiTheme="minorHAnsi" w:cstheme="minorHAnsi"/>
          <w:bCs/>
          <w:sz w:val="24"/>
          <w:szCs w:val="24"/>
          <w:lang w:val="fr-FR"/>
        </w:rPr>
        <w:t>u rapport du professeur ROMBOUTS serait inexacte</w:t>
      </w:r>
      <w:r w:rsidR="00A0556C">
        <w:rPr>
          <w:rFonts w:asciiTheme="minorHAnsi" w:hAnsiTheme="minorHAnsi" w:cstheme="minorHAnsi"/>
          <w:bCs/>
          <w:sz w:val="24"/>
          <w:szCs w:val="24"/>
          <w:lang w:val="fr-FR"/>
        </w:rPr>
        <w:t>,</w:t>
      </w:r>
      <w:r w:rsidR="00E20A46">
        <w:rPr>
          <w:rFonts w:asciiTheme="minorHAnsi" w:hAnsiTheme="minorHAnsi" w:cstheme="minorHAnsi"/>
          <w:bCs/>
          <w:sz w:val="24"/>
          <w:szCs w:val="24"/>
          <w:lang w:val="fr-FR"/>
        </w:rPr>
        <w:t xml:space="preserve"> ce qui </w:t>
      </w:r>
      <w:r>
        <w:rPr>
          <w:rFonts w:asciiTheme="minorHAnsi" w:hAnsiTheme="minorHAnsi" w:cstheme="minorHAnsi"/>
          <w:bCs/>
          <w:sz w:val="24"/>
          <w:szCs w:val="24"/>
          <w:lang w:val="fr-FR"/>
        </w:rPr>
        <w:t>est</w:t>
      </w:r>
      <w:r w:rsidR="00E20A46">
        <w:rPr>
          <w:rFonts w:asciiTheme="minorHAnsi" w:hAnsiTheme="minorHAnsi" w:cstheme="minorHAnsi"/>
          <w:bCs/>
          <w:sz w:val="24"/>
          <w:szCs w:val="24"/>
          <w:lang w:val="fr-FR"/>
        </w:rPr>
        <w:t xml:space="preserve"> confirmé par l’expert qui indique dans son rapport :</w:t>
      </w:r>
    </w:p>
    <w:p w14:paraId="495C5EE2" w14:textId="77777777" w:rsidR="00E20A46" w:rsidRDefault="00E20A46" w:rsidP="00ED1C59">
      <w:pPr>
        <w:pStyle w:val="Textebrut"/>
        <w:tabs>
          <w:tab w:val="left" w:pos="1843"/>
        </w:tabs>
        <w:jc w:val="both"/>
        <w:rPr>
          <w:rFonts w:asciiTheme="minorHAnsi" w:hAnsiTheme="minorHAnsi" w:cstheme="minorHAnsi"/>
          <w:bCs/>
          <w:sz w:val="24"/>
          <w:szCs w:val="24"/>
          <w:lang w:val="fr-FR"/>
        </w:rPr>
      </w:pPr>
    </w:p>
    <w:p w14:paraId="3D2561FB" w14:textId="1126D551" w:rsidR="00E20A46" w:rsidRPr="00E20A46" w:rsidRDefault="00E20A46" w:rsidP="00ED1C59">
      <w:pPr>
        <w:pStyle w:val="Textebrut"/>
        <w:tabs>
          <w:tab w:val="left" w:pos="1843"/>
        </w:tabs>
        <w:jc w:val="both"/>
        <w:rPr>
          <w:rFonts w:asciiTheme="minorHAnsi" w:hAnsiTheme="minorHAnsi" w:cstheme="minorHAnsi"/>
          <w:bCs/>
          <w:i/>
          <w:iCs/>
          <w:sz w:val="24"/>
          <w:szCs w:val="24"/>
          <w:lang w:val="fr-FR"/>
        </w:rPr>
      </w:pPr>
      <w:r>
        <w:rPr>
          <w:rFonts w:asciiTheme="minorHAnsi" w:hAnsiTheme="minorHAnsi" w:cstheme="minorHAnsi"/>
          <w:bCs/>
          <w:sz w:val="24"/>
          <w:szCs w:val="24"/>
          <w:lang w:val="fr-FR"/>
        </w:rPr>
        <w:t xml:space="preserve"> </w:t>
      </w:r>
      <w:r w:rsidRPr="00E20A46">
        <w:rPr>
          <w:rFonts w:asciiTheme="minorHAnsi" w:hAnsiTheme="minorHAnsi" w:cstheme="minorHAnsi"/>
          <w:bCs/>
          <w:i/>
          <w:iCs/>
          <w:sz w:val="24"/>
          <w:szCs w:val="24"/>
          <w:lang w:val="fr-FR"/>
        </w:rPr>
        <w:t xml:space="preserve">« </w:t>
      </w:r>
      <w:r w:rsidR="0065284F" w:rsidRPr="00E20A46">
        <w:rPr>
          <w:rFonts w:asciiTheme="minorHAnsi" w:hAnsiTheme="minorHAnsi" w:cstheme="minorHAnsi"/>
          <w:bCs/>
          <w:i/>
          <w:iCs/>
          <w:sz w:val="24"/>
          <w:szCs w:val="24"/>
          <w:lang w:val="fr-FR"/>
        </w:rPr>
        <w:t>Le</w:t>
      </w:r>
      <w:r w:rsidRPr="00E20A46">
        <w:rPr>
          <w:rFonts w:asciiTheme="minorHAnsi" w:hAnsiTheme="minorHAnsi" w:cstheme="minorHAnsi"/>
          <w:bCs/>
          <w:i/>
          <w:iCs/>
          <w:sz w:val="24"/>
          <w:szCs w:val="24"/>
          <w:lang w:val="fr-FR"/>
        </w:rPr>
        <w:t xml:space="preserve"> professeur </w:t>
      </w:r>
      <w:r w:rsidR="0065284F">
        <w:rPr>
          <w:rFonts w:asciiTheme="minorHAnsi" w:hAnsiTheme="minorHAnsi" w:cstheme="minorHAnsi"/>
          <w:bCs/>
          <w:i/>
          <w:iCs/>
          <w:sz w:val="24"/>
          <w:szCs w:val="24"/>
          <w:lang w:val="fr-FR"/>
        </w:rPr>
        <w:t>ROMBOUTS</w:t>
      </w:r>
      <w:r w:rsidRPr="00E20A46">
        <w:rPr>
          <w:rFonts w:asciiTheme="minorHAnsi" w:hAnsiTheme="minorHAnsi" w:cstheme="minorHAnsi"/>
          <w:bCs/>
          <w:i/>
          <w:iCs/>
          <w:sz w:val="24"/>
          <w:szCs w:val="24"/>
          <w:lang w:val="fr-FR"/>
        </w:rPr>
        <w:t xml:space="preserve">, chirurgien orthopédiste, a confirmé qu’il n’y avait aucune objectivation d’une péjoration de l’état antérieur qu’elle soit ordre radiographique </w:t>
      </w:r>
      <w:r w:rsidR="00A0556C">
        <w:rPr>
          <w:rFonts w:asciiTheme="minorHAnsi" w:hAnsiTheme="minorHAnsi" w:cstheme="minorHAnsi"/>
          <w:bCs/>
          <w:i/>
          <w:iCs/>
          <w:sz w:val="24"/>
          <w:szCs w:val="24"/>
          <w:lang w:val="fr-FR"/>
        </w:rPr>
        <w:t xml:space="preserve">ou </w:t>
      </w:r>
      <w:r w:rsidRPr="00E20A46">
        <w:rPr>
          <w:rFonts w:asciiTheme="minorHAnsi" w:hAnsiTheme="minorHAnsi" w:cstheme="minorHAnsi"/>
          <w:bCs/>
          <w:i/>
          <w:iCs/>
          <w:sz w:val="24"/>
          <w:szCs w:val="24"/>
          <w:lang w:val="fr-FR"/>
        </w:rPr>
        <w:t>clinique.</w:t>
      </w:r>
    </w:p>
    <w:p w14:paraId="7D52008F" w14:textId="3CC088E1" w:rsidR="00E20A46" w:rsidRDefault="00E20A46" w:rsidP="00ED1C59">
      <w:pPr>
        <w:pStyle w:val="Textebrut"/>
        <w:tabs>
          <w:tab w:val="left" w:pos="1843"/>
        </w:tabs>
        <w:jc w:val="both"/>
        <w:rPr>
          <w:rFonts w:asciiTheme="minorHAnsi" w:hAnsiTheme="minorHAnsi" w:cstheme="minorHAnsi"/>
          <w:bCs/>
          <w:i/>
          <w:iCs/>
          <w:sz w:val="24"/>
          <w:szCs w:val="24"/>
          <w:lang w:val="fr-FR"/>
        </w:rPr>
      </w:pPr>
      <w:r w:rsidRPr="00E20A46">
        <w:rPr>
          <w:rFonts w:asciiTheme="minorHAnsi" w:hAnsiTheme="minorHAnsi" w:cstheme="minorHAnsi"/>
          <w:bCs/>
          <w:i/>
          <w:iCs/>
          <w:sz w:val="24"/>
          <w:szCs w:val="24"/>
          <w:lang w:val="fr-FR"/>
        </w:rPr>
        <w:t>Le dommage évoqué e</w:t>
      </w:r>
      <w:r w:rsidR="003D6DA3">
        <w:rPr>
          <w:rFonts w:asciiTheme="minorHAnsi" w:hAnsiTheme="minorHAnsi" w:cstheme="minorHAnsi"/>
          <w:bCs/>
          <w:i/>
          <w:iCs/>
          <w:sz w:val="24"/>
          <w:szCs w:val="24"/>
          <w:lang w:val="fr-FR"/>
        </w:rPr>
        <w:t>s</w:t>
      </w:r>
      <w:r w:rsidRPr="00E20A46">
        <w:rPr>
          <w:rFonts w:asciiTheme="minorHAnsi" w:hAnsiTheme="minorHAnsi" w:cstheme="minorHAnsi"/>
          <w:bCs/>
          <w:i/>
          <w:iCs/>
          <w:sz w:val="24"/>
          <w:szCs w:val="24"/>
          <w:lang w:val="fr-FR"/>
        </w:rPr>
        <w:t>t donc d’ordre strictement subjecti</w:t>
      </w:r>
      <w:r w:rsidR="003D6DA3">
        <w:rPr>
          <w:rFonts w:asciiTheme="minorHAnsi" w:hAnsiTheme="minorHAnsi" w:cstheme="minorHAnsi"/>
          <w:bCs/>
          <w:i/>
          <w:iCs/>
          <w:sz w:val="24"/>
          <w:szCs w:val="24"/>
          <w:lang w:val="fr-FR"/>
        </w:rPr>
        <w:t>f</w:t>
      </w:r>
      <w:r w:rsidRPr="00E20A46">
        <w:rPr>
          <w:rFonts w:asciiTheme="minorHAnsi" w:hAnsiTheme="minorHAnsi" w:cstheme="minorHAnsi"/>
          <w:bCs/>
          <w:i/>
          <w:iCs/>
          <w:sz w:val="24"/>
          <w:szCs w:val="24"/>
          <w:lang w:val="fr-FR"/>
        </w:rPr>
        <w:t xml:space="preserve"> et non principalement subjectif »</w:t>
      </w:r>
    </w:p>
    <w:p w14:paraId="38926ADB" w14:textId="641A2AFF" w:rsidR="00E20A46" w:rsidRDefault="00E20A46" w:rsidP="00ED1C59">
      <w:pPr>
        <w:pStyle w:val="Textebrut"/>
        <w:tabs>
          <w:tab w:val="left" w:pos="1843"/>
        </w:tabs>
        <w:jc w:val="both"/>
        <w:rPr>
          <w:rFonts w:asciiTheme="minorHAnsi" w:hAnsiTheme="minorHAnsi" w:cstheme="minorHAnsi"/>
          <w:bCs/>
          <w:i/>
          <w:iCs/>
          <w:sz w:val="24"/>
          <w:szCs w:val="24"/>
          <w:lang w:val="fr-FR"/>
        </w:rPr>
      </w:pPr>
    </w:p>
    <w:p w14:paraId="5AF077DD" w14:textId="383C8F72" w:rsidR="00E20A46" w:rsidRPr="001B4C88" w:rsidRDefault="0065284F"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CHU</w:t>
      </w:r>
      <w:r w:rsidR="00E20A46" w:rsidRPr="001B4C88">
        <w:rPr>
          <w:rFonts w:asciiTheme="minorHAnsi" w:hAnsiTheme="minorHAnsi" w:cstheme="minorHAnsi"/>
          <w:bCs/>
          <w:sz w:val="24"/>
          <w:szCs w:val="24"/>
          <w:lang w:val="fr-FR"/>
        </w:rPr>
        <w:t xml:space="preserve"> estime que les conclusions de l’expert ne sont nullement en contradiction avec les éléments qui lui ont été soumis.</w:t>
      </w:r>
    </w:p>
    <w:p w14:paraId="2B3E5D4D" w14:textId="128E26F8" w:rsidR="00E20A46" w:rsidRPr="001B4C88" w:rsidRDefault="00E20A46" w:rsidP="00ED1C59">
      <w:pPr>
        <w:pStyle w:val="Textebrut"/>
        <w:tabs>
          <w:tab w:val="left" w:pos="1843"/>
        </w:tabs>
        <w:jc w:val="both"/>
        <w:rPr>
          <w:rFonts w:asciiTheme="minorHAnsi" w:hAnsiTheme="minorHAnsi" w:cstheme="minorHAnsi"/>
          <w:bCs/>
          <w:sz w:val="24"/>
          <w:szCs w:val="24"/>
          <w:lang w:val="fr-FR"/>
        </w:rPr>
      </w:pPr>
    </w:p>
    <w:p w14:paraId="74E48E2C" w14:textId="68D40A00" w:rsidR="003D6DA3" w:rsidRDefault="003D6DA3"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Il</w:t>
      </w:r>
      <w:r w:rsidR="00E20A46" w:rsidRPr="001B4C88">
        <w:rPr>
          <w:rFonts w:asciiTheme="minorHAnsi" w:hAnsiTheme="minorHAnsi" w:cstheme="minorHAnsi"/>
          <w:bCs/>
          <w:sz w:val="24"/>
          <w:szCs w:val="24"/>
          <w:lang w:val="fr-FR"/>
        </w:rPr>
        <w:t xml:space="preserve"> souligne que les difficultés énoncées par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00E20A46" w:rsidRPr="001B4C88">
        <w:rPr>
          <w:rFonts w:asciiTheme="minorHAnsi" w:hAnsiTheme="minorHAnsi" w:cstheme="minorHAnsi"/>
          <w:bCs/>
          <w:sz w:val="24"/>
          <w:szCs w:val="24"/>
          <w:lang w:val="fr-FR"/>
        </w:rPr>
        <w:t xml:space="preserve"> quant à la continuation de ses activités sportives ne doi</w:t>
      </w:r>
      <w:r>
        <w:rPr>
          <w:rFonts w:asciiTheme="minorHAnsi" w:hAnsiTheme="minorHAnsi" w:cstheme="minorHAnsi"/>
          <w:bCs/>
          <w:sz w:val="24"/>
          <w:szCs w:val="24"/>
          <w:lang w:val="fr-FR"/>
        </w:rPr>
        <w:t>vent</w:t>
      </w:r>
      <w:r w:rsidR="00E20A46" w:rsidRPr="001B4C88">
        <w:rPr>
          <w:rFonts w:asciiTheme="minorHAnsi" w:hAnsiTheme="minorHAnsi" w:cstheme="minorHAnsi"/>
          <w:bCs/>
          <w:sz w:val="24"/>
          <w:szCs w:val="24"/>
          <w:lang w:val="fr-FR"/>
        </w:rPr>
        <w:t xml:space="preserve"> en toute hypothèse pas entrer en ligne de compte dès lors qu’elle</w:t>
      </w:r>
      <w:r>
        <w:rPr>
          <w:rFonts w:asciiTheme="minorHAnsi" w:hAnsiTheme="minorHAnsi" w:cstheme="minorHAnsi"/>
          <w:bCs/>
          <w:sz w:val="24"/>
          <w:szCs w:val="24"/>
          <w:lang w:val="fr-FR"/>
        </w:rPr>
        <w:t>s</w:t>
      </w:r>
      <w:r w:rsidR="00E20A46" w:rsidRPr="001B4C88">
        <w:rPr>
          <w:rFonts w:asciiTheme="minorHAnsi" w:hAnsiTheme="minorHAnsi" w:cstheme="minorHAnsi"/>
          <w:bCs/>
          <w:sz w:val="24"/>
          <w:szCs w:val="24"/>
          <w:lang w:val="fr-FR"/>
        </w:rPr>
        <w:t xml:space="preserve"> n</w:t>
      </w:r>
      <w:r>
        <w:rPr>
          <w:rFonts w:asciiTheme="minorHAnsi" w:hAnsiTheme="minorHAnsi" w:cstheme="minorHAnsi"/>
          <w:bCs/>
          <w:sz w:val="24"/>
          <w:szCs w:val="24"/>
          <w:lang w:val="fr-FR"/>
        </w:rPr>
        <w:t>’ont</w:t>
      </w:r>
      <w:r w:rsidR="00E20A46" w:rsidRPr="001B4C88">
        <w:rPr>
          <w:rFonts w:asciiTheme="minorHAnsi" w:hAnsiTheme="minorHAnsi" w:cstheme="minorHAnsi"/>
          <w:bCs/>
          <w:sz w:val="24"/>
          <w:szCs w:val="24"/>
          <w:lang w:val="fr-FR"/>
        </w:rPr>
        <w:t xml:space="preserve"> pas de répercussions sur la capacité de travail de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Pr>
          <w:rFonts w:asciiTheme="minorHAnsi" w:hAnsiTheme="minorHAnsi" w:cstheme="minorHAnsi"/>
          <w:bCs/>
          <w:sz w:val="24"/>
          <w:szCs w:val="24"/>
          <w:lang w:val="fr-FR"/>
        </w:rPr>
        <w:t>.</w:t>
      </w:r>
      <w:r w:rsidR="001B4C88" w:rsidRPr="001B4C88">
        <w:rPr>
          <w:rFonts w:asciiTheme="minorHAnsi" w:hAnsiTheme="minorHAnsi" w:cstheme="minorHAnsi"/>
          <w:bCs/>
          <w:sz w:val="24"/>
          <w:szCs w:val="24"/>
          <w:lang w:val="fr-FR"/>
        </w:rPr>
        <w:t xml:space="preserve"> </w:t>
      </w:r>
    </w:p>
    <w:p w14:paraId="7279C352" w14:textId="29475D9F" w:rsidR="00E20A46" w:rsidRPr="001B4C88" w:rsidRDefault="003D6DA3"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Il</w:t>
      </w:r>
      <w:r w:rsidR="001B4C88" w:rsidRPr="001B4C88">
        <w:rPr>
          <w:rFonts w:asciiTheme="minorHAnsi" w:hAnsiTheme="minorHAnsi" w:cstheme="minorHAnsi"/>
          <w:bCs/>
          <w:sz w:val="24"/>
          <w:szCs w:val="24"/>
          <w:lang w:val="fr-FR"/>
        </w:rPr>
        <w:t xml:space="preserve"> précise que s</w:t>
      </w:r>
      <w:r>
        <w:rPr>
          <w:rFonts w:asciiTheme="minorHAnsi" w:hAnsiTheme="minorHAnsi" w:cstheme="minorHAnsi"/>
          <w:bCs/>
          <w:sz w:val="24"/>
          <w:szCs w:val="24"/>
          <w:lang w:val="fr-FR"/>
        </w:rPr>
        <w:t>’il</w:t>
      </w:r>
      <w:r w:rsidR="001B4C88" w:rsidRPr="001B4C88">
        <w:rPr>
          <w:rFonts w:asciiTheme="minorHAnsi" w:hAnsiTheme="minorHAnsi" w:cstheme="minorHAnsi"/>
          <w:bCs/>
          <w:sz w:val="24"/>
          <w:szCs w:val="24"/>
          <w:lang w:val="fr-FR"/>
        </w:rPr>
        <w:t xml:space="preserve"> a fait appel à un détective privé c’était afin de vérifier si les faits litigieux ne se</w:t>
      </w:r>
      <w:r>
        <w:rPr>
          <w:rFonts w:asciiTheme="minorHAnsi" w:hAnsiTheme="minorHAnsi" w:cstheme="minorHAnsi"/>
          <w:bCs/>
          <w:sz w:val="24"/>
          <w:szCs w:val="24"/>
          <w:lang w:val="fr-FR"/>
        </w:rPr>
        <w:t xml:space="preserve"> </w:t>
      </w:r>
      <w:r w:rsidR="001B4C88" w:rsidRPr="001B4C88">
        <w:rPr>
          <w:rFonts w:asciiTheme="minorHAnsi" w:hAnsiTheme="minorHAnsi" w:cstheme="minorHAnsi"/>
          <w:bCs/>
          <w:sz w:val="24"/>
          <w:szCs w:val="24"/>
          <w:lang w:val="fr-FR"/>
        </w:rPr>
        <w:t xml:space="preserve">seraient pas produits lors d’une activité privée sportive, que le détective a tenu compte des matchs officiels auxquels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001B4C88" w:rsidRPr="001B4C88">
        <w:rPr>
          <w:rFonts w:asciiTheme="minorHAnsi" w:hAnsiTheme="minorHAnsi" w:cstheme="minorHAnsi"/>
          <w:bCs/>
          <w:sz w:val="24"/>
          <w:szCs w:val="24"/>
          <w:lang w:val="fr-FR"/>
        </w:rPr>
        <w:t xml:space="preserve"> aurait participé ce qui n’exclut pas le fait qu’elle ait pu poursuivre le sport qu’elle pratiqu</w:t>
      </w:r>
      <w:r>
        <w:rPr>
          <w:rFonts w:asciiTheme="minorHAnsi" w:hAnsiTheme="minorHAnsi" w:cstheme="minorHAnsi"/>
          <w:bCs/>
          <w:sz w:val="24"/>
          <w:szCs w:val="24"/>
          <w:lang w:val="fr-FR"/>
        </w:rPr>
        <w:t>ait,</w:t>
      </w:r>
      <w:r w:rsidR="001B4C88" w:rsidRPr="001B4C88">
        <w:rPr>
          <w:rFonts w:asciiTheme="minorHAnsi" w:hAnsiTheme="minorHAnsi" w:cstheme="minorHAnsi"/>
          <w:bCs/>
          <w:sz w:val="24"/>
          <w:szCs w:val="24"/>
          <w:lang w:val="fr-FR"/>
        </w:rPr>
        <w:t xml:space="preserve"> à savoir le tennis.</w:t>
      </w:r>
    </w:p>
    <w:p w14:paraId="02F23373" w14:textId="20AC67DE" w:rsidR="001B4C88" w:rsidRPr="001B4C88" w:rsidRDefault="001B4C88" w:rsidP="00ED1C59">
      <w:pPr>
        <w:pStyle w:val="Textebrut"/>
        <w:tabs>
          <w:tab w:val="left" w:pos="1843"/>
        </w:tabs>
        <w:jc w:val="both"/>
        <w:rPr>
          <w:rFonts w:asciiTheme="minorHAnsi" w:hAnsiTheme="minorHAnsi" w:cstheme="minorHAnsi"/>
          <w:bCs/>
          <w:sz w:val="24"/>
          <w:szCs w:val="24"/>
          <w:lang w:val="fr-FR"/>
        </w:rPr>
      </w:pPr>
    </w:p>
    <w:p w14:paraId="1119861F" w14:textId="7485FC5B" w:rsidR="001B4C88" w:rsidRDefault="0065284F"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CHU</w:t>
      </w:r>
      <w:r w:rsidR="001B4C88" w:rsidRPr="001B4C88">
        <w:rPr>
          <w:rFonts w:asciiTheme="minorHAnsi" w:hAnsiTheme="minorHAnsi" w:cstheme="minorHAnsi"/>
          <w:bCs/>
          <w:sz w:val="24"/>
          <w:szCs w:val="24"/>
          <w:lang w:val="fr-FR"/>
        </w:rPr>
        <w:t xml:space="preserve"> souligne</w:t>
      </w:r>
      <w:r w:rsidR="001B4C88">
        <w:rPr>
          <w:rFonts w:asciiTheme="minorHAnsi" w:hAnsiTheme="minorHAnsi" w:cstheme="minorHAnsi"/>
          <w:bCs/>
          <w:sz w:val="24"/>
          <w:szCs w:val="24"/>
          <w:lang w:val="fr-FR"/>
        </w:rPr>
        <w:t xml:space="preserve"> qu’il est tout à fait conforme à la jurisprudence que l’expert n’</w:t>
      </w:r>
      <w:r w:rsidR="003D6DA3">
        <w:rPr>
          <w:rFonts w:asciiTheme="minorHAnsi" w:hAnsiTheme="minorHAnsi" w:cstheme="minorHAnsi"/>
          <w:bCs/>
          <w:sz w:val="24"/>
          <w:szCs w:val="24"/>
          <w:lang w:val="fr-FR"/>
        </w:rPr>
        <w:t>ait</w:t>
      </w:r>
      <w:r w:rsidR="001B4C88">
        <w:rPr>
          <w:rFonts w:asciiTheme="minorHAnsi" w:hAnsiTheme="minorHAnsi" w:cstheme="minorHAnsi"/>
          <w:bCs/>
          <w:sz w:val="24"/>
          <w:szCs w:val="24"/>
          <w:lang w:val="fr-FR"/>
        </w:rPr>
        <w:t xml:space="preserve"> pas retenu l’état antérieur</w:t>
      </w:r>
      <w:r w:rsidR="00A0556C">
        <w:rPr>
          <w:rFonts w:asciiTheme="minorHAnsi" w:hAnsiTheme="minorHAnsi" w:cstheme="minorHAnsi"/>
          <w:bCs/>
          <w:sz w:val="24"/>
          <w:szCs w:val="24"/>
          <w:lang w:val="fr-FR"/>
        </w:rPr>
        <w:t>,</w:t>
      </w:r>
      <w:r w:rsidR="001B4C88">
        <w:rPr>
          <w:rFonts w:asciiTheme="minorHAnsi" w:hAnsiTheme="minorHAnsi" w:cstheme="minorHAnsi"/>
          <w:bCs/>
          <w:sz w:val="24"/>
          <w:szCs w:val="24"/>
          <w:lang w:val="fr-FR"/>
        </w:rPr>
        <w:t xml:space="preserve"> dès lors que s’il est établi que l’accident du travail a cessé d’exercer </w:t>
      </w:r>
      <w:r w:rsidR="003D6DA3">
        <w:rPr>
          <w:rFonts w:asciiTheme="minorHAnsi" w:hAnsiTheme="minorHAnsi" w:cstheme="minorHAnsi"/>
          <w:bCs/>
          <w:sz w:val="24"/>
          <w:szCs w:val="24"/>
          <w:lang w:val="fr-FR"/>
        </w:rPr>
        <w:t>une influence</w:t>
      </w:r>
      <w:r w:rsidR="001B4C88">
        <w:rPr>
          <w:rFonts w:asciiTheme="minorHAnsi" w:hAnsiTheme="minorHAnsi" w:cstheme="minorHAnsi"/>
          <w:bCs/>
          <w:sz w:val="24"/>
          <w:szCs w:val="24"/>
          <w:lang w:val="fr-FR"/>
        </w:rPr>
        <w:t xml:space="preserve"> sur l’état de la victime dont l’état antérieur ne fait qu’évoluer comme il </w:t>
      </w:r>
      <w:r w:rsidR="00A0556C">
        <w:rPr>
          <w:rFonts w:asciiTheme="minorHAnsi" w:hAnsiTheme="minorHAnsi" w:cstheme="minorHAnsi"/>
          <w:bCs/>
          <w:sz w:val="24"/>
          <w:szCs w:val="24"/>
          <w:lang w:val="fr-FR"/>
        </w:rPr>
        <w:t>l’</w:t>
      </w:r>
      <w:r w:rsidR="001B4C88">
        <w:rPr>
          <w:rFonts w:asciiTheme="minorHAnsi" w:hAnsiTheme="minorHAnsi" w:cstheme="minorHAnsi"/>
          <w:bCs/>
          <w:sz w:val="24"/>
          <w:szCs w:val="24"/>
          <w:lang w:val="fr-FR"/>
        </w:rPr>
        <w:t>aurait fait s</w:t>
      </w:r>
      <w:r w:rsidR="003D6DA3">
        <w:rPr>
          <w:rFonts w:asciiTheme="minorHAnsi" w:hAnsiTheme="minorHAnsi" w:cstheme="minorHAnsi"/>
          <w:bCs/>
          <w:sz w:val="24"/>
          <w:szCs w:val="24"/>
          <w:lang w:val="fr-FR"/>
        </w:rPr>
        <w:t>’</w:t>
      </w:r>
      <w:r w:rsidR="001B4C88">
        <w:rPr>
          <w:rFonts w:asciiTheme="minorHAnsi" w:hAnsiTheme="minorHAnsi" w:cstheme="minorHAnsi"/>
          <w:bCs/>
          <w:sz w:val="24"/>
          <w:szCs w:val="24"/>
          <w:lang w:val="fr-FR"/>
        </w:rPr>
        <w:t>il n’y avait pas eu d’accident du travail, il n’y a pas lieu d’appliquer un principe de globalisation.</w:t>
      </w:r>
    </w:p>
    <w:p w14:paraId="28A20B86" w14:textId="6BA0CB59" w:rsidR="001B4C88" w:rsidRDefault="001B4C88" w:rsidP="00ED1C59">
      <w:pPr>
        <w:pStyle w:val="Textebrut"/>
        <w:tabs>
          <w:tab w:val="left" w:pos="1843"/>
        </w:tabs>
        <w:jc w:val="both"/>
        <w:rPr>
          <w:rFonts w:asciiTheme="minorHAnsi" w:hAnsiTheme="minorHAnsi" w:cstheme="minorHAnsi"/>
          <w:bCs/>
          <w:sz w:val="24"/>
          <w:szCs w:val="24"/>
          <w:lang w:val="fr-FR"/>
        </w:rPr>
      </w:pPr>
    </w:p>
    <w:p w14:paraId="29C4C38E" w14:textId="4554E953" w:rsidR="001B4C88" w:rsidRDefault="0065284F"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CHU</w:t>
      </w:r>
      <w:r w:rsidR="001B4C88">
        <w:rPr>
          <w:rFonts w:asciiTheme="minorHAnsi" w:hAnsiTheme="minorHAnsi" w:cstheme="minorHAnsi"/>
          <w:bCs/>
          <w:sz w:val="24"/>
          <w:szCs w:val="24"/>
          <w:lang w:val="fr-FR"/>
        </w:rPr>
        <w:t xml:space="preserve"> indique ensuite qu’il n’y a pas lieu de reconnaître de caractère contraignant</w:t>
      </w:r>
    </w:p>
    <w:p w14:paraId="12A613F7" w14:textId="5385970D" w:rsidR="001B4C88" w:rsidRDefault="00A0556C"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à</w:t>
      </w:r>
      <w:r w:rsidR="003D6DA3">
        <w:rPr>
          <w:rFonts w:asciiTheme="minorHAnsi" w:hAnsiTheme="minorHAnsi" w:cstheme="minorHAnsi"/>
          <w:bCs/>
          <w:sz w:val="24"/>
          <w:szCs w:val="24"/>
          <w:lang w:val="fr-FR"/>
        </w:rPr>
        <w:t xml:space="preserve"> la </w:t>
      </w:r>
      <w:r w:rsidR="001B4C88">
        <w:rPr>
          <w:rFonts w:asciiTheme="minorHAnsi" w:hAnsiTheme="minorHAnsi" w:cstheme="minorHAnsi"/>
          <w:bCs/>
          <w:sz w:val="24"/>
          <w:szCs w:val="24"/>
          <w:lang w:val="fr-FR"/>
        </w:rPr>
        <w:t>décision du MEDEX dès lors que le service médical compétent pour le CHU était à l’époque des faits EXPERCONSULT et non le MEDEX.</w:t>
      </w:r>
    </w:p>
    <w:p w14:paraId="2EB5F588" w14:textId="15992A6A" w:rsidR="001B4C88" w:rsidRDefault="001B4C88" w:rsidP="00ED1C59">
      <w:pPr>
        <w:pStyle w:val="Textebrut"/>
        <w:tabs>
          <w:tab w:val="left" w:pos="1843"/>
        </w:tabs>
        <w:jc w:val="both"/>
        <w:rPr>
          <w:rFonts w:asciiTheme="minorHAnsi" w:hAnsiTheme="minorHAnsi" w:cstheme="minorHAnsi"/>
          <w:bCs/>
          <w:sz w:val="24"/>
          <w:szCs w:val="24"/>
          <w:lang w:val="fr-FR"/>
        </w:rPr>
      </w:pPr>
    </w:p>
    <w:p w14:paraId="138BCCF1" w14:textId="618E6961" w:rsidR="003D6DA3" w:rsidRDefault="003D6DA3"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Il </w:t>
      </w:r>
      <w:r w:rsidR="001B4C88">
        <w:rPr>
          <w:rFonts w:asciiTheme="minorHAnsi" w:hAnsiTheme="minorHAnsi" w:cstheme="minorHAnsi"/>
          <w:bCs/>
          <w:sz w:val="24"/>
          <w:szCs w:val="24"/>
          <w:lang w:val="fr-FR"/>
        </w:rPr>
        <w:t>invoque le fait que le 4 décembre 2012</w:t>
      </w:r>
      <w:r w:rsidR="00A0556C">
        <w:rPr>
          <w:rFonts w:asciiTheme="minorHAnsi" w:hAnsiTheme="minorHAnsi" w:cstheme="minorHAnsi"/>
          <w:bCs/>
          <w:sz w:val="24"/>
          <w:szCs w:val="24"/>
          <w:lang w:val="fr-FR"/>
        </w:rPr>
        <w:t>,</w:t>
      </w:r>
      <w:r w:rsidR="001B4C88">
        <w:rPr>
          <w:rFonts w:asciiTheme="minorHAnsi" w:hAnsiTheme="minorHAnsi" w:cstheme="minorHAnsi"/>
          <w:bCs/>
          <w:sz w:val="24"/>
          <w:szCs w:val="24"/>
          <w:lang w:val="fr-FR"/>
        </w:rPr>
        <w:t xml:space="preserve"> E</w:t>
      </w:r>
      <w:r>
        <w:rPr>
          <w:rFonts w:asciiTheme="minorHAnsi" w:hAnsiTheme="minorHAnsi" w:cstheme="minorHAnsi"/>
          <w:bCs/>
          <w:sz w:val="24"/>
          <w:szCs w:val="24"/>
          <w:lang w:val="fr-FR"/>
        </w:rPr>
        <w:t>THIAS</w:t>
      </w:r>
      <w:r w:rsidR="001B4C88">
        <w:rPr>
          <w:rFonts w:asciiTheme="minorHAnsi" w:hAnsiTheme="minorHAnsi" w:cstheme="minorHAnsi"/>
          <w:bCs/>
          <w:sz w:val="24"/>
          <w:szCs w:val="24"/>
          <w:lang w:val="fr-FR"/>
        </w:rPr>
        <w:t xml:space="preserve"> a adressé pour le compte du CHU un courrier à l’institut </w:t>
      </w:r>
      <w:proofErr w:type="spellStart"/>
      <w:r w:rsidR="001B4C88">
        <w:rPr>
          <w:rFonts w:asciiTheme="minorHAnsi" w:hAnsiTheme="minorHAnsi" w:cstheme="minorHAnsi"/>
          <w:bCs/>
          <w:sz w:val="24"/>
          <w:szCs w:val="24"/>
          <w:lang w:val="fr-FR"/>
        </w:rPr>
        <w:t>M</w:t>
      </w:r>
      <w:r>
        <w:rPr>
          <w:rFonts w:asciiTheme="minorHAnsi" w:hAnsiTheme="minorHAnsi" w:cstheme="minorHAnsi"/>
          <w:bCs/>
          <w:sz w:val="24"/>
          <w:szCs w:val="24"/>
          <w:lang w:val="fr-FR"/>
        </w:rPr>
        <w:t>alvoz</w:t>
      </w:r>
      <w:proofErr w:type="spellEnd"/>
      <w:r w:rsidR="001B4C88">
        <w:rPr>
          <w:rFonts w:asciiTheme="minorHAnsi" w:hAnsiTheme="minorHAnsi" w:cstheme="minorHAnsi"/>
          <w:bCs/>
          <w:sz w:val="24"/>
          <w:szCs w:val="24"/>
          <w:lang w:val="fr-FR"/>
        </w:rPr>
        <w:t xml:space="preserve"> et qu’ensuite un second courrier a été envoyé toujours par ETHIAS </w:t>
      </w:r>
      <w:r w:rsidR="00A0556C">
        <w:rPr>
          <w:rFonts w:asciiTheme="minorHAnsi" w:hAnsiTheme="minorHAnsi" w:cstheme="minorHAnsi"/>
          <w:bCs/>
          <w:sz w:val="24"/>
          <w:szCs w:val="24"/>
          <w:lang w:val="fr-FR"/>
        </w:rPr>
        <w:t>à</w:t>
      </w:r>
      <w:r w:rsidR="001B4C88">
        <w:rPr>
          <w:rFonts w:asciiTheme="minorHAnsi" w:hAnsiTheme="minorHAnsi" w:cstheme="minorHAnsi"/>
          <w:bCs/>
          <w:sz w:val="24"/>
          <w:szCs w:val="24"/>
          <w:lang w:val="fr-FR"/>
        </w:rPr>
        <w:t xml:space="preserve"> EXPERTCONSULT, qui a établi un rapport qui a été adressé à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001B4C88">
        <w:rPr>
          <w:rFonts w:asciiTheme="minorHAnsi" w:hAnsiTheme="minorHAnsi" w:cstheme="minorHAnsi"/>
          <w:bCs/>
          <w:sz w:val="24"/>
          <w:szCs w:val="24"/>
          <w:lang w:val="fr-FR"/>
        </w:rPr>
        <w:t xml:space="preserve"> par ETHIAS, signalant que le service médical compétent estimait qu’elle ne conservait pas de séquelles permanentes indemnisables. </w:t>
      </w:r>
    </w:p>
    <w:p w14:paraId="7F2EA031" w14:textId="77777777" w:rsidR="003D6DA3" w:rsidRDefault="003D6DA3" w:rsidP="00ED1C59">
      <w:pPr>
        <w:pStyle w:val="Textebrut"/>
        <w:tabs>
          <w:tab w:val="left" w:pos="1843"/>
        </w:tabs>
        <w:jc w:val="both"/>
        <w:rPr>
          <w:rFonts w:asciiTheme="minorHAnsi" w:hAnsiTheme="minorHAnsi" w:cstheme="minorHAnsi"/>
          <w:bCs/>
          <w:sz w:val="24"/>
          <w:szCs w:val="24"/>
          <w:lang w:val="fr-FR"/>
        </w:rPr>
      </w:pPr>
    </w:p>
    <w:p w14:paraId="2A86D7EA" w14:textId="1A156167" w:rsidR="001B4C88" w:rsidRDefault="0065284F"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lastRenderedPageBreak/>
        <w:t>Le CHU</w:t>
      </w:r>
      <w:r w:rsidR="001B4C88">
        <w:rPr>
          <w:rFonts w:asciiTheme="minorHAnsi" w:hAnsiTheme="minorHAnsi" w:cstheme="minorHAnsi"/>
          <w:bCs/>
          <w:sz w:val="24"/>
          <w:szCs w:val="24"/>
          <w:lang w:val="fr-FR"/>
        </w:rPr>
        <w:t xml:space="preserve"> précise que cette position a été confirmée par EXPERTCONSULT suite à la contestation de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001B4C88">
        <w:rPr>
          <w:rFonts w:asciiTheme="minorHAnsi" w:hAnsiTheme="minorHAnsi" w:cstheme="minorHAnsi"/>
          <w:bCs/>
          <w:sz w:val="24"/>
          <w:szCs w:val="24"/>
          <w:lang w:val="fr-FR"/>
        </w:rPr>
        <w:t xml:space="preserve"> </w:t>
      </w:r>
      <w:r w:rsidR="003D6DA3">
        <w:rPr>
          <w:rFonts w:asciiTheme="minorHAnsi" w:hAnsiTheme="minorHAnsi" w:cstheme="minorHAnsi"/>
          <w:bCs/>
          <w:sz w:val="24"/>
          <w:szCs w:val="24"/>
          <w:lang w:val="fr-FR"/>
        </w:rPr>
        <w:t>et que,</w:t>
      </w:r>
      <w:r w:rsidR="001B4C88">
        <w:rPr>
          <w:rFonts w:asciiTheme="minorHAnsi" w:hAnsiTheme="minorHAnsi" w:cstheme="minorHAnsi"/>
          <w:bCs/>
          <w:sz w:val="24"/>
          <w:szCs w:val="24"/>
          <w:lang w:val="fr-FR"/>
        </w:rPr>
        <w:t xml:space="preserve"> dès lors, le CHU a notifié en date du 30 avril</w:t>
      </w:r>
      <w:r w:rsidR="00A0556C">
        <w:rPr>
          <w:rFonts w:asciiTheme="minorHAnsi" w:hAnsiTheme="minorHAnsi" w:cstheme="minorHAnsi"/>
          <w:bCs/>
          <w:sz w:val="24"/>
          <w:szCs w:val="24"/>
          <w:lang w:val="fr-FR"/>
        </w:rPr>
        <w:t xml:space="preserve"> 20</w:t>
      </w:r>
      <w:r w:rsidR="001B4C88">
        <w:rPr>
          <w:rFonts w:asciiTheme="minorHAnsi" w:hAnsiTheme="minorHAnsi" w:cstheme="minorHAnsi"/>
          <w:bCs/>
          <w:sz w:val="24"/>
          <w:szCs w:val="24"/>
          <w:lang w:val="fr-FR"/>
        </w:rPr>
        <w:t>14 sa décision de consolider le cas sans séquelles à la date du 2 mai 2012.</w:t>
      </w:r>
    </w:p>
    <w:p w14:paraId="662973C8" w14:textId="5F4BB9DD" w:rsidR="001B4C88" w:rsidRDefault="001B4C88" w:rsidP="00ED1C59">
      <w:pPr>
        <w:pStyle w:val="Textebrut"/>
        <w:tabs>
          <w:tab w:val="left" w:pos="1843"/>
        </w:tabs>
        <w:jc w:val="both"/>
        <w:rPr>
          <w:rFonts w:asciiTheme="minorHAnsi" w:hAnsiTheme="minorHAnsi" w:cstheme="minorHAnsi"/>
          <w:bCs/>
          <w:sz w:val="24"/>
          <w:szCs w:val="24"/>
          <w:lang w:val="fr-FR"/>
        </w:rPr>
      </w:pPr>
    </w:p>
    <w:p w14:paraId="772636F0" w14:textId="465D88E5" w:rsidR="001B4C88" w:rsidRDefault="0065284F"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CHU</w:t>
      </w:r>
      <w:r w:rsidR="001B4C88">
        <w:rPr>
          <w:rFonts w:asciiTheme="minorHAnsi" w:hAnsiTheme="minorHAnsi" w:cstheme="minorHAnsi"/>
          <w:bCs/>
          <w:sz w:val="24"/>
          <w:szCs w:val="24"/>
          <w:lang w:val="fr-FR"/>
        </w:rPr>
        <w:t xml:space="preserve"> indique que les conclusions du MEDEX </w:t>
      </w:r>
      <w:r w:rsidR="003D6DA3">
        <w:rPr>
          <w:rFonts w:asciiTheme="minorHAnsi" w:hAnsiTheme="minorHAnsi" w:cstheme="minorHAnsi"/>
          <w:bCs/>
          <w:sz w:val="24"/>
          <w:szCs w:val="24"/>
          <w:lang w:val="fr-FR"/>
        </w:rPr>
        <w:t>doivent être écartées</w:t>
      </w:r>
      <w:r w:rsidR="001B4C88">
        <w:rPr>
          <w:rFonts w:asciiTheme="minorHAnsi" w:hAnsiTheme="minorHAnsi" w:cstheme="minorHAnsi"/>
          <w:bCs/>
          <w:sz w:val="24"/>
          <w:szCs w:val="24"/>
          <w:lang w:val="fr-FR"/>
        </w:rPr>
        <w:t xml:space="preserve"> et que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001B4C88">
        <w:rPr>
          <w:rFonts w:asciiTheme="minorHAnsi" w:hAnsiTheme="minorHAnsi" w:cstheme="minorHAnsi"/>
          <w:bCs/>
          <w:sz w:val="24"/>
          <w:szCs w:val="24"/>
          <w:lang w:val="fr-FR"/>
        </w:rPr>
        <w:t xml:space="preserve"> aurait été orientée par erreur vers le MEDEX, qu’il n’y aurait pas de lettre de mission adressée au MEDEX.</w:t>
      </w:r>
    </w:p>
    <w:p w14:paraId="5AC04D31" w14:textId="1E5E3535" w:rsidR="001B4C88" w:rsidRDefault="001B4C88" w:rsidP="00ED1C59">
      <w:pPr>
        <w:pStyle w:val="Textebrut"/>
        <w:tabs>
          <w:tab w:val="left" w:pos="1843"/>
        </w:tabs>
        <w:jc w:val="both"/>
        <w:rPr>
          <w:rFonts w:asciiTheme="minorHAnsi" w:hAnsiTheme="minorHAnsi" w:cstheme="minorHAnsi"/>
          <w:bCs/>
          <w:sz w:val="24"/>
          <w:szCs w:val="24"/>
          <w:lang w:val="fr-FR"/>
        </w:rPr>
      </w:pPr>
    </w:p>
    <w:p w14:paraId="0BF0D09B" w14:textId="0214D6AA" w:rsidR="006A70CF" w:rsidRDefault="001B4C88"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À titre subsidiaire</w:t>
      </w:r>
      <w:r w:rsidR="00A0556C">
        <w:rPr>
          <w:rFonts w:asciiTheme="minorHAnsi" w:hAnsiTheme="minorHAnsi" w:cstheme="minorHAnsi"/>
          <w:bCs/>
          <w:sz w:val="24"/>
          <w:szCs w:val="24"/>
          <w:lang w:val="fr-FR"/>
        </w:rPr>
        <w:t>, il</w:t>
      </w:r>
      <w:r>
        <w:rPr>
          <w:rFonts w:asciiTheme="minorHAnsi" w:hAnsiTheme="minorHAnsi" w:cstheme="minorHAnsi"/>
          <w:bCs/>
          <w:sz w:val="24"/>
          <w:szCs w:val="24"/>
          <w:lang w:val="fr-FR"/>
        </w:rPr>
        <w:t xml:space="preserve"> estime</w:t>
      </w:r>
      <w:r w:rsidR="00A0556C">
        <w:rPr>
          <w:rFonts w:asciiTheme="minorHAnsi" w:hAnsiTheme="minorHAnsi" w:cstheme="minorHAnsi"/>
          <w:bCs/>
          <w:sz w:val="24"/>
          <w:szCs w:val="24"/>
          <w:lang w:val="fr-FR"/>
        </w:rPr>
        <w:t xml:space="preserve"> </w:t>
      </w:r>
      <w:r w:rsidR="006A70CF">
        <w:rPr>
          <w:rFonts w:asciiTheme="minorHAnsi" w:hAnsiTheme="minorHAnsi" w:cstheme="minorHAnsi"/>
          <w:bCs/>
          <w:sz w:val="24"/>
          <w:szCs w:val="24"/>
          <w:lang w:val="fr-FR"/>
        </w:rPr>
        <w:t>que même si le service médical compétent était le MEDEX, le taux retenu par celui-ci n’est pas contraignant.</w:t>
      </w:r>
    </w:p>
    <w:p w14:paraId="0A581213" w14:textId="28E3C573" w:rsidR="00F53096" w:rsidRDefault="006A70CF"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CHU indique à cet égard q</w:t>
      </w:r>
      <w:r w:rsidR="001B4C88">
        <w:rPr>
          <w:rFonts w:asciiTheme="minorHAnsi" w:hAnsiTheme="minorHAnsi" w:cstheme="minorHAnsi"/>
          <w:bCs/>
          <w:sz w:val="24"/>
          <w:szCs w:val="24"/>
          <w:lang w:val="fr-FR"/>
        </w:rPr>
        <w:t xml:space="preserve">ue la version actuelle de l’article </w:t>
      </w:r>
      <w:r w:rsidR="003D6DA3">
        <w:rPr>
          <w:rFonts w:asciiTheme="minorHAnsi" w:hAnsiTheme="minorHAnsi" w:cstheme="minorHAnsi"/>
          <w:bCs/>
          <w:sz w:val="24"/>
          <w:szCs w:val="24"/>
          <w:lang w:val="fr-FR"/>
        </w:rPr>
        <w:t>8</w:t>
      </w:r>
      <w:r w:rsidR="001B4C88">
        <w:rPr>
          <w:rFonts w:asciiTheme="minorHAnsi" w:hAnsiTheme="minorHAnsi" w:cstheme="minorHAnsi"/>
          <w:bCs/>
          <w:sz w:val="24"/>
          <w:szCs w:val="24"/>
          <w:lang w:val="fr-FR"/>
        </w:rPr>
        <w:t xml:space="preserve"> de l’</w:t>
      </w:r>
      <w:r w:rsidR="003D6DA3">
        <w:rPr>
          <w:rFonts w:asciiTheme="minorHAnsi" w:hAnsiTheme="minorHAnsi" w:cstheme="minorHAnsi"/>
          <w:bCs/>
          <w:sz w:val="24"/>
          <w:szCs w:val="24"/>
          <w:lang w:val="fr-FR"/>
        </w:rPr>
        <w:t>A</w:t>
      </w:r>
      <w:r w:rsidR="001B4C88">
        <w:rPr>
          <w:rFonts w:asciiTheme="minorHAnsi" w:hAnsiTheme="minorHAnsi" w:cstheme="minorHAnsi"/>
          <w:bCs/>
          <w:sz w:val="24"/>
          <w:szCs w:val="24"/>
          <w:lang w:val="fr-FR"/>
        </w:rPr>
        <w:t>rrêté Royal du 24 janvier 1969</w:t>
      </w:r>
      <w:r w:rsidR="003D6DA3">
        <w:rPr>
          <w:rFonts w:asciiTheme="minorHAnsi" w:hAnsiTheme="minorHAnsi" w:cstheme="minorHAnsi"/>
          <w:bCs/>
          <w:sz w:val="24"/>
          <w:szCs w:val="24"/>
          <w:lang w:val="fr-FR"/>
        </w:rPr>
        <w:t xml:space="preserve"> (dont il sera question plus amplement ci-après)</w:t>
      </w:r>
      <w:r w:rsidR="003D6DA3">
        <w:rPr>
          <w:rStyle w:val="Appelnotedebasdep"/>
          <w:rFonts w:asciiTheme="minorHAnsi" w:hAnsiTheme="minorHAnsi" w:cstheme="minorHAnsi"/>
          <w:bCs/>
          <w:sz w:val="24"/>
          <w:szCs w:val="24"/>
          <w:lang w:val="fr-FR"/>
        </w:rPr>
        <w:footnoteReference w:id="1"/>
      </w:r>
      <w:r w:rsidR="001B4C88">
        <w:rPr>
          <w:rFonts w:asciiTheme="minorHAnsi" w:hAnsiTheme="minorHAnsi" w:cstheme="minorHAnsi"/>
          <w:bCs/>
          <w:sz w:val="24"/>
          <w:szCs w:val="24"/>
          <w:lang w:val="fr-FR"/>
        </w:rPr>
        <w:t xml:space="preserve"> n’est pas applicable au litige</w:t>
      </w:r>
      <w:r>
        <w:rPr>
          <w:rFonts w:asciiTheme="minorHAnsi" w:hAnsiTheme="minorHAnsi" w:cstheme="minorHAnsi"/>
          <w:bCs/>
          <w:sz w:val="24"/>
          <w:szCs w:val="24"/>
          <w:lang w:val="fr-FR"/>
        </w:rPr>
        <w:t xml:space="preserve"> et qu’il faut se référer à l’</w:t>
      </w:r>
      <w:r w:rsidR="001B4C88">
        <w:rPr>
          <w:rFonts w:asciiTheme="minorHAnsi" w:hAnsiTheme="minorHAnsi" w:cstheme="minorHAnsi"/>
          <w:bCs/>
          <w:sz w:val="24"/>
          <w:szCs w:val="24"/>
          <w:lang w:val="fr-FR"/>
        </w:rPr>
        <w:t xml:space="preserve">article </w:t>
      </w:r>
      <w:r w:rsidR="003D6DA3">
        <w:rPr>
          <w:rFonts w:asciiTheme="minorHAnsi" w:hAnsiTheme="minorHAnsi" w:cstheme="minorHAnsi"/>
          <w:bCs/>
          <w:sz w:val="24"/>
          <w:szCs w:val="24"/>
          <w:lang w:val="fr-FR"/>
        </w:rPr>
        <w:t>8,</w:t>
      </w:r>
      <w:r w:rsidR="001B4C88">
        <w:rPr>
          <w:rFonts w:asciiTheme="minorHAnsi" w:hAnsiTheme="minorHAnsi" w:cstheme="minorHAnsi"/>
          <w:bCs/>
          <w:sz w:val="24"/>
          <w:szCs w:val="24"/>
          <w:lang w:val="fr-FR"/>
        </w:rPr>
        <w:t xml:space="preserve"> dans sa version au moment des faits</w:t>
      </w:r>
      <w:r w:rsidR="003D6DA3">
        <w:rPr>
          <w:rFonts w:asciiTheme="minorHAnsi" w:hAnsiTheme="minorHAnsi" w:cstheme="minorHAnsi"/>
          <w:bCs/>
          <w:sz w:val="24"/>
          <w:szCs w:val="24"/>
          <w:lang w:val="fr-FR"/>
        </w:rPr>
        <w:t>,</w:t>
      </w:r>
      <w:r>
        <w:rPr>
          <w:rFonts w:asciiTheme="minorHAnsi" w:hAnsiTheme="minorHAnsi" w:cstheme="minorHAnsi"/>
          <w:bCs/>
          <w:sz w:val="24"/>
          <w:szCs w:val="24"/>
          <w:lang w:val="fr-FR"/>
        </w:rPr>
        <w:t xml:space="preserve"> lequel</w:t>
      </w:r>
      <w:r w:rsidR="001B4C88">
        <w:rPr>
          <w:rFonts w:asciiTheme="minorHAnsi" w:hAnsiTheme="minorHAnsi" w:cstheme="minorHAnsi"/>
          <w:bCs/>
          <w:sz w:val="24"/>
          <w:szCs w:val="24"/>
          <w:lang w:val="fr-FR"/>
        </w:rPr>
        <w:t xml:space="preserve"> prévoyait que « </w:t>
      </w:r>
      <w:r w:rsidR="005163EE" w:rsidRPr="005163EE">
        <w:rPr>
          <w:rFonts w:asciiTheme="minorHAnsi" w:hAnsiTheme="minorHAnsi" w:cstheme="minorHAnsi"/>
          <w:bCs/>
          <w:i/>
          <w:iCs/>
          <w:sz w:val="24"/>
          <w:szCs w:val="24"/>
          <w:lang w:val="fr-FR"/>
        </w:rPr>
        <w:t>L</w:t>
      </w:r>
      <w:r w:rsidR="001B4C88" w:rsidRPr="005163EE">
        <w:rPr>
          <w:rFonts w:asciiTheme="minorHAnsi" w:hAnsiTheme="minorHAnsi" w:cstheme="minorHAnsi"/>
          <w:bCs/>
          <w:i/>
          <w:iCs/>
          <w:sz w:val="24"/>
          <w:szCs w:val="24"/>
          <w:lang w:val="fr-FR"/>
        </w:rPr>
        <w:t>e service</w:t>
      </w:r>
      <w:r w:rsidR="005163EE" w:rsidRPr="005163EE">
        <w:rPr>
          <w:rFonts w:asciiTheme="minorHAnsi" w:hAnsiTheme="minorHAnsi" w:cstheme="minorHAnsi"/>
          <w:bCs/>
          <w:i/>
          <w:iCs/>
          <w:sz w:val="24"/>
          <w:szCs w:val="24"/>
          <w:lang w:val="fr-FR"/>
        </w:rPr>
        <w:t xml:space="preserve"> de santé administrati</w:t>
      </w:r>
      <w:r>
        <w:rPr>
          <w:rFonts w:asciiTheme="minorHAnsi" w:hAnsiTheme="minorHAnsi" w:cstheme="minorHAnsi"/>
          <w:bCs/>
          <w:i/>
          <w:iCs/>
          <w:sz w:val="24"/>
          <w:szCs w:val="24"/>
          <w:lang w:val="fr-FR"/>
        </w:rPr>
        <w:t>f</w:t>
      </w:r>
      <w:r w:rsidR="001B4C88" w:rsidRPr="005163EE">
        <w:rPr>
          <w:rFonts w:asciiTheme="minorHAnsi" w:hAnsiTheme="minorHAnsi" w:cstheme="minorHAnsi"/>
          <w:bCs/>
          <w:i/>
          <w:iCs/>
          <w:sz w:val="24"/>
          <w:szCs w:val="24"/>
          <w:lang w:val="fr-FR"/>
        </w:rPr>
        <w:t xml:space="preserve"> fixe le pourcentage de l’invalidité permanente résultant</w:t>
      </w:r>
      <w:r w:rsidR="001B4C88">
        <w:rPr>
          <w:rFonts w:asciiTheme="minorHAnsi" w:hAnsiTheme="minorHAnsi" w:cstheme="minorHAnsi"/>
          <w:bCs/>
          <w:sz w:val="24"/>
          <w:szCs w:val="24"/>
          <w:lang w:val="fr-FR"/>
        </w:rPr>
        <w:t xml:space="preserve"> </w:t>
      </w:r>
      <w:r w:rsidR="001B4C88" w:rsidRPr="005163EE">
        <w:rPr>
          <w:rFonts w:asciiTheme="minorHAnsi" w:hAnsiTheme="minorHAnsi" w:cstheme="minorHAnsi"/>
          <w:bCs/>
          <w:i/>
          <w:iCs/>
          <w:sz w:val="24"/>
          <w:szCs w:val="24"/>
          <w:lang w:val="fr-FR"/>
        </w:rPr>
        <w:t>des lésions physiologiques occasionnées par l’accident</w:t>
      </w:r>
      <w:r w:rsidR="00F53096">
        <w:rPr>
          <w:rFonts w:asciiTheme="minorHAnsi" w:hAnsiTheme="minorHAnsi" w:cstheme="minorHAnsi"/>
          <w:bCs/>
          <w:sz w:val="24"/>
          <w:szCs w:val="24"/>
          <w:lang w:val="fr-FR"/>
        </w:rPr>
        <w:t> » alors que la version actuelle précise que le service est désigné également pour vérifier le lien de causalité entre l’accident du travail et les lésions ainsi que pour établir le lien de causalité entre accident du travail et les périodes d’incapacité de travail et pour fixer la date de consolidation.</w:t>
      </w:r>
    </w:p>
    <w:p w14:paraId="1F2BF504" w14:textId="29D3D8A9" w:rsidR="001B4C88" w:rsidRDefault="006A70CF"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Il</w:t>
      </w:r>
      <w:r w:rsidR="00F53096">
        <w:rPr>
          <w:rFonts w:asciiTheme="minorHAnsi" w:hAnsiTheme="minorHAnsi" w:cstheme="minorHAnsi"/>
          <w:bCs/>
          <w:sz w:val="24"/>
          <w:szCs w:val="24"/>
          <w:lang w:val="fr-FR"/>
        </w:rPr>
        <w:t xml:space="preserve"> indique qu’au moment des faits le service médical n’opérait pas de contrôle sur le lien de causalité de sorte que sa décision ne peut lier la juridiction du travail sur la question du lien de causalité.</w:t>
      </w:r>
    </w:p>
    <w:p w14:paraId="2F2987B2" w14:textId="67478DAE" w:rsidR="00F53096" w:rsidRDefault="00F53096" w:rsidP="00ED1C59">
      <w:pPr>
        <w:pStyle w:val="Textebrut"/>
        <w:tabs>
          <w:tab w:val="left" w:pos="1843"/>
        </w:tabs>
        <w:jc w:val="both"/>
        <w:rPr>
          <w:rFonts w:asciiTheme="minorHAnsi" w:hAnsiTheme="minorHAnsi" w:cstheme="minorHAnsi"/>
          <w:bCs/>
          <w:sz w:val="24"/>
          <w:szCs w:val="24"/>
          <w:lang w:val="fr-FR"/>
        </w:rPr>
      </w:pPr>
    </w:p>
    <w:p w14:paraId="3F133A22" w14:textId="41D15520" w:rsidR="00F53096" w:rsidRDefault="00F53096"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Position du tribunal</w:t>
      </w:r>
      <w:r w:rsidR="005163EE">
        <w:rPr>
          <w:rFonts w:asciiTheme="minorHAnsi" w:hAnsiTheme="minorHAnsi" w:cstheme="minorHAnsi"/>
          <w:bCs/>
          <w:sz w:val="24"/>
          <w:szCs w:val="24"/>
          <w:lang w:val="fr-FR"/>
        </w:rPr>
        <w:t> :</w:t>
      </w:r>
    </w:p>
    <w:p w14:paraId="04AB8300" w14:textId="0672FA52" w:rsidR="00F53096" w:rsidRDefault="00F53096" w:rsidP="00ED1C59">
      <w:pPr>
        <w:pStyle w:val="Textebrut"/>
        <w:tabs>
          <w:tab w:val="left" w:pos="1843"/>
        </w:tabs>
        <w:jc w:val="both"/>
        <w:rPr>
          <w:rFonts w:asciiTheme="minorHAnsi" w:hAnsiTheme="minorHAnsi" w:cstheme="minorHAnsi"/>
          <w:bCs/>
          <w:sz w:val="24"/>
          <w:szCs w:val="24"/>
          <w:lang w:val="fr-FR"/>
        </w:rPr>
      </w:pPr>
    </w:p>
    <w:p w14:paraId="03F9D50A" w14:textId="06F4FFFB" w:rsidR="00F53096" w:rsidRDefault="00F53096"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tribunal estime que la première question à se poser est de savoir s</w:t>
      </w:r>
      <w:r w:rsidR="005163EE">
        <w:rPr>
          <w:rFonts w:asciiTheme="minorHAnsi" w:hAnsiTheme="minorHAnsi" w:cstheme="minorHAnsi"/>
          <w:bCs/>
          <w:sz w:val="24"/>
          <w:szCs w:val="24"/>
          <w:lang w:val="fr-FR"/>
        </w:rPr>
        <w:t>’</w:t>
      </w:r>
      <w:r>
        <w:rPr>
          <w:rFonts w:asciiTheme="minorHAnsi" w:hAnsiTheme="minorHAnsi" w:cstheme="minorHAnsi"/>
          <w:bCs/>
          <w:sz w:val="24"/>
          <w:szCs w:val="24"/>
          <w:lang w:val="fr-FR"/>
        </w:rPr>
        <w:t>il y a lieu de tenir compte ou pas de l’expertise du MEDEX ou si seule l’expertise d</w:t>
      </w:r>
      <w:r w:rsidR="004F6E4F">
        <w:rPr>
          <w:rFonts w:asciiTheme="minorHAnsi" w:hAnsiTheme="minorHAnsi" w:cstheme="minorHAnsi"/>
          <w:bCs/>
          <w:sz w:val="24"/>
          <w:szCs w:val="24"/>
          <w:lang w:val="fr-FR"/>
        </w:rPr>
        <w:t>’EXPERTCONSULT</w:t>
      </w:r>
      <w:r>
        <w:rPr>
          <w:rFonts w:asciiTheme="minorHAnsi" w:hAnsiTheme="minorHAnsi" w:cstheme="minorHAnsi"/>
          <w:bCs/>
          <w:sz w:val="24"/>
          <w:szCs w:val="24"/>
          <w:lang w:val="fr-FR"/>
        </w:rPr>
        <w:t xml:space="preserve"> doit être prise en considération.</w:t>
      </w:r>
    </w:p>
    <w:p w14:paraId="2259C078" w14:textId="683977C2" w:rsidR="00F53096" w:rsidRDefault="00F53096" w:rsidP="00ED1C59">
      <w:pPr>
        <w:pStyle w:val="Textebrut"/>
        <w:tabs>
          <w:tab w:val="left" w:pos="1843"/>
        </w:tabs>
        <w:jc w:val="both"/>
        <w:rPr>
          <w:rFonts w:asciiTheme="minorHAnsi" w:hAnsiTheme="minorHAnsi" w:cstheme="minorHAnsi"/>
          <w:bCs/>
          <w:sz w:val="24"/>
          <w:szCs w:val="24"/>
          <w:lang w:val="fr-FR"/>
        </w:rPr>
      </w:pPr>
    </w:p>
    <w:p w14:paraId="7FB44835" w14:textId="76EEF8D2" w:rsidR="00F53096" w:rsidRDefault="00F53096"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En fonction de la réponse donnée à ce</w:t>
      </w:r>
      <w:r w:rsidR="004F6E4F">
        <w:rPr>
          <w:rFonts w:asciiTheme="minorHAnsi" w:hAnsiTheme="minorHAnsi" w:cstheme="minorHAnsi"/>
          <w:bCs/>
          <w:sz w:val="24"/>
          <w:szCs w:val="24"/>
          <w:lang w:val="fr-FR"/>
        </w:rPr>
        <w:t>tte</w:t>
      </w:r>
      <w:r>
        <w:rPr>
          <w:rFonts w:asciiTheme="minorHAnsi" w:hAnsiTheme="minorHAnsi" w:cstheme="minorHAnsi"/>
          <w:bCs/>
          <w:sz w:val="24"/>
          <w:szCs w:val="24"/>
          <w:lang w:val="fr-FR"/>
        </w:rPr>
        <w:t xml:space="preserve"> question il y aura lieu éventuellement de se pencher sur le fait de savoir si les conclusions du MEDEX et dans quelle mesure les conclusions du MEDEX ont une valeur contraignante et donc d’examiner la question de savoir </w:t>
      </w:r>
      <w:r w:rsidR="005163EE">
        <w:rPr>
          <w:rFonts w:asciiTheme="minorHAnsi" w:hAnsiTheme="minorHAnsi" w:cstheme="minorHAnsi"/>
          <w:bCs/>
          <w:sz w:val="24"/>
          <w:szCs w:val="24"/>
          <w:lang w:val="fr-FR"/>
        </w:rPr>
        <w:t>s’il</w:t>
      </w:r>
      <w:r>
        <w:rPr>
          <w:rFonts w:asciiTheme="minorHAnsi" w:hAnsiTheme="minorHAnsi" w:cstheme="minorHAnsi"/>
          <w:bCs/>
          <w:sz w:val="24"/>
          <w:szCs w:val="24"/>
          <w:lang w:val="fr-FR"/>
        </w:rPr>
        <w:t xml:space="preserve"> y a lieu de faire application ou non de l’article </w:t>
      </w:r>
      <w:r w:rsidR="004F6E4F">
        <w:rPr>
          <w:rFonts w:asciiTheme="minorHAnsi" w:hAnsiTheme="minorHAnsi" w:cstheme="minorHAnsi"/>
          <w:bCs/>
          <w:sz w:val="24"/>
          <w:szCs w:val="24"/>
          <w:lang w:val="fr-FR"/>
        </w:rPr>
        <w:t>8</w:t>
      </w:r>
      <w:r>
        <w:rPr>
          <w:rFonts w:asciiTheme="minorHAnsi" w:hAnsiTheme="minorHAnsi" w:cstheme="minorHAnsi"/>
          <w:bCs/>
          <w:sz w:val="24"/>
          <w:szCs w:val="24"/>
          <w:lang w:val="fr-FR"/>
        </w:rPr>
        <w:t xml:space="preserve"> de l’</w:t>
      </w:r>
      <w:r w:rsidR="005163EE">
        <w:rPr>
          <w:rFonts w:asciiTheme="minorHAnsi" w:hAnsiTheme="minorHAnsi" w:cstheme="minorHAnsi"/>
          <w:bCs/>
          <w:sz w:val="24"/>
          <w:szCs w:val="24"/>
          <w:lang w:val="fr-FR"/>
        </w:rPr>
        <w:t>A</w:t>
      </w:r>
      <w:r>
        <w:rPr>
          <w:rFonts w:asciiTheme="minorHAnsi" w:hAnsiTheme="minorHAnsi" w:cstheme="minorHAnsi"/>
          <w:bCs/>
          <w:sz w:val="24"/>
          <w:szCs w:val="24"/>
          <w:lang w:val="fr-FR"/>
        </w:rPr>
        <w:t xml:space="preserve">rrêté </w:t>
      </w:r>
      <w:r w:rsidR="005163EE">
        <w:rPr>
          <w:rFonts w:asciiTheme="minorHAnsi" w:hAnsiTheme="minorHAnsi" w:cstheme="minorHAnsi"/>
          <w:bCs/>
          <w:sz w:val="24"/>
          <w:szCs w:val="24"/>
          <w:lang w:val="fr-FR"/>
        </w:rPr>
        <w:t>R</w:t>
      </w:r>
      <w:r>
        <w:rPr>
          <w:rFonts w:asciiTheme="minorHAnsi" w:hAnsiTheme="minorHAnsi" w:cstheme="minorHAnsi"/>
          <w:bCs/>
          <w:sz w:val="24"/>
          <w:szCs w:val="24"/>
          <w:lang w:val="fr-FR"/>
        </w:rPr>
        <w:t>oyal du 24 juin 1969 dans sa version actuelle.</w:t>
      </w:r>
    </w:p>
    <w:p w14:paraId="7FC27E34" w14:textId="63709E21" w:rsidR="004F6E4F" w:rsidRDefault="004F6E4F" w:rsidP="00ED1C59">
      <w:pPr>
        <w:pStyle w:val="Textebrut"/>
        <w:tabs>
          <w:tab w:val="left" w:pos="1843"/>
        </w:tabs>
        <w:jc w:val="both"/>
        <w:rPr>
          <w:rFonts w:asciiTheme="minorHAnsi" w:hAnsiTheme="minorHAnsi" w:cstheme="minorHAnsi"/>
          <w:bCs/>
          <w:sz w:val="24"/>
          <w:szCs w:val="24"/>
          <w:lang w:val="fr-FR"/>
        </w:rPr>
      </w:pPr>
    </w:p>
    <w:p w14:paraId="726F4C80" w14:textId="7591EF8E" w:rsidR="004F6E4F" w:rsidRDefault="004F6E4F"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Le tribunal relève d’emblée que cette question</w:t>
      </w:r>
      <w:r w:rsidR="005163EE">
        <w:rPr>
          <w:rFonts w:asciiTheme="minorHAnsi" w:hAnsiTheme="minorHAnsi" w:cstheme="minorHAnsi"/>
          <w:bCs/>
          <w:sz w:val="24"/>
          <w:szCs w:val="24"/>
          <w:lang w:val="fr-FR"/>
        </w:rPr>
        <w:t xml:space="preserve"> a déjà</w:t>
      </w:r>
      <w:r>
        <w:rPr>
          <w:rFonts w:asciiTheme="minorHAnsi" w:hAnsiTheme="minorHAnsi" w:cstheme="minorHAnsi"/>
          <w:bCs/>
          <w:sz w:val="24"/>
          <w:szCs w:val="24"/>
          <w:lang w:val="fr-FR"/>
        </w:rPr>
        <w:t xml:space="preserve"> fait l’objet de discussions dans le cadre de l’expertise.</w:t>
      </w:r>
    </w:p>
    <w:p w14:paraId="44EB7C91" w14:textId="191696B4" w:rsidR="004F6E4F" w:rsidRDefault="004F6E4F" w:rsidP="00ED1C59">
      <w:pPr>
        <w:pStyle w:val="Textebrut"/>
        <w:tabs>
          <w:tab w:val="left" w:pos="1843"/>
        </w:tabs>
        <w:jc w:val="both"/>
        <w:rPr>
          <w:rFonts w:asciiTheme="minorHAnsi" w:hAnsiTheme="minorHAnsi" w:cstheme="minorHAnsi"/>
          <w:bCs/>
          <w:sz w:val="24"/>
          <w:szCs w:val="24"/>
          <w:lang w:val="fr-FR"/>
        </w:rPr>
      </w:pPr>
    </w:p>
    <w:p w14:paraId="12A02A92" w14:textId="4464D578" w:rsidR="004F6E4F" w:rsidRDefault="004F6E4F"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Ainsi en page 34 de son rapport l’expert précise :</w:t>
      </w:r>
    </w:p>
    <w:p w14:paraId="6B5E4591" w14:textId="1A9FB7E0" w:rsidR="004F6E4F" w:rsidRDefault="004F6E4F" w:rsidP="00ED1C59">
      <w:pPr>
        <w:pStyle w:val="Textebrut"/>
        <w:tabs>
          <w:tab w:val="left" w:pos="1843"/>
        </w:tabs>
        <w:jc w:val="both"/>
        <w:rPr>
          <w:rFonts w:asciiTheme="minorHAnsi" w:hAnsiTheme="minorHAnsi" w:cstheme="minorHAnsi"/>
          <w:bCs/>
          <w:sz w:val="24"/>
          <w:szCs w:val="24"/>
          <w:lang w:val="fr-FR"/>
        </w:rPr>
      </w:pPr>
    </w:p>
    <w:p w14:paraId="7C5DCAF0" w14:textId="77692DB8" w:rsidR="004F6E4F" w:rsidRPr="003F641E" w:rsidRDefault="004F6E4F" w:rsidP="00ED1C59">
      <w:pPr>
        <w:pStyle w:val="Textebrut"/>
        <w:tabs>
          <w:tab w:val="left" w:pos="1843"/>
        </w:tabs>
        <w:jc w:val="both"/>
        <w:rPr>
          <w:rFonts w:asciiTheme="minorHAnsi" w:hAnsiTheme="minorHAnsi" w:cstheme="minorHAnsi"/>
          <w:bCs/>
          <w:i/>
          <w:iCs/>
          <w:sz w:val="24"/>
          <w:szCs w:val="24"/>
          <w:lang w:val="fr-FR"/>
        </w:rPr>
      </w:pPr>
      <w:r w:rsidRPr="003F641E">
        <w:rPr>
          <w:rFonts w:asciiTheme="minorHAnsi" w:hAnsiTheme="minorHAnsi" w:cstheme="minorHAnsi"/>
          <w:bCs/>
          <w:i/>
          <w:iCs/>
          <w:sz w:val="24"/>
          <w:szCs w:val="24"/>
          <w:lang w:val="fr-FR"/>
        </w:rPr>
        <w:t>Il s’avère, dans ce dossier, que d’un point de vue médical, les choses sont relativement simples (voir plus haut), il en va tout autrement d’un strict point de vue juridique.</w:t>
      </w:r>
    </w:p>
    <w:p w14:paraId="11CCDE2F" w14:textId="7B746838" w:rsidR="004F6E4F" w:rsidRPr="003F641E" w:rsidRDefault="004F6E4F" w:rsidP="00ED1C59">
      <w:pPr>
        <w:pStyle w:val="Textebrut"/>
        <w:tabs>
          <w:tab w:val="left" w:pos="1843"/>
        </w:tabs>
        <w:jc w:val="both"/>
        <w:rPr>
          <w:rFonts w:asciiTheme="minorHAnsi" w:hAnsiTheme="minorHAnsi" w:cstheme="minorHAnsi"/>
          <w:bCs/>
          <w:i/>
          <w:iCs/>
          <w:sz w:val="24"/>
          <w:szCs w:val="24"/>
          <w:lang w:val="fr-FR"/>
        </w:rPr>
      </w:pPr>
    </w:p>
    <w:p w14:paraId="31E3D9C1" w14:textId="77777777" w:rsidR="004F6E4F" w:rsidRPr="003F641E" w:rsidRDefault="004F6E4F" w:rsidP="00ED1C59">
      <w:pPr>
        <w:pStyle w:val="Textebrut"/>
        <w:tabs>
          <w:tab w:val="left" w:pos="1843"/>
        </w:tabs>
        <w:jc w:val="both"/>
        <w:rPr>
          <w:rFonts w:asciiTheme="minorHAnsi" w:hAnsiTheme="minorHAnsi" w:cstheme="minorHAnsi"/>
          <w:bCs/>
          <w:i/>
          <w:iCs/>
          <w:sz w:val="24"/>
          <w:szCs w:val="24"/>
          <w:lang w:val="fr-FR"/>
        </w:rPr>
      </w:pPr>
      <w:r w:rsidRPr="003F641E">
        <w:rPr>
          <w:rFonts w:asciiTheme="minorHAnsi" w:hAnsiTheme="minorHAnsi" w:cstheme="minorHAnsi"/>
          <w:bCs/>
          <w:i/>
          <w:iCs/>
          <w:sz w:val="24"/>
          <w:szCs w:val="24"/>
          <w:lang w:val="fr-FR"/>
        </w:rPr>
        <w:t xml:space="preserve">En témoignent les 14 notes d’observations échangées par les conseillers juridiques des parties après l’envoi du 2 </w:t>
      </w:r>
      <w:proofErr w:type="spellStart"/>
      <w:r w:rsidRPr="003F641E">
        <w:rPr>
          <w:rFonts w:asciiTheme="minorHAnsi" w:hAnsiTheme="minorHAnsi" w:cstheme="minorHAnsi"/>
          <w:bCs/>
          <w:i/>
          <w:iCs/>
          <w:sz w:val="24"/>
          <w:szCs w:val="24"/>
          <w:lang w:val="fr-FR"/>
        </w:rPr>
        <w:t>nd</w:t>
      </w:r>
      <w:proofErr w:type="spellEnd"/>
      <w:r w:rsidRPr="003F641E">
        <w:rPr>
          <w:rFonts w:asciiTheme="minorHAnsi" w:hAnsiTheme="minorHAnsi" w:cstheme="minorHAnsi"/>
          <w:bCs/>
          <w:i/>
          <w:iCs/>
          <w:sz w:val="24"/>
          <w:szCs w:val="24"/>
          <w:lang w:val="fr-FR"/>
        </w:rPr>
        <w:t xml:space="preserve"> rapport préliminaire en date du 10/03/2020 (annexe 73 à 86 ).</w:t>
      </w:r>
    </w:p>
    <w:p w14:paraId="4622759B" w14:textId="77777777" w:rsidR="004F6E4F" w:rsidRPr="003F641E" w:rsidRDefault="004F6E4F" w:rsidP="00ED1C59">
      <w:pPr>
        <w:pStyle w:val="Textebrut"/>
        <w:tabs>
          <w:tab w:val="left" w:pos="1843"/>
        </w:tabs>
        <w:jc w:val="both"/>
        <w:rPr>
          <w:rFonts w:asciiTheme="minorHAnsi" w:hAnsiTheme="minorHAnsi" w:cstheme="minorHAnsi"/>
          <w:bCs/>
          <w:i/>
          <w:iCs/>
          <w:sz w:val="24"/>
          <w:szCs w:val="24"/>
          <w:lang w:val="fr-FR"/>
        </w:rPr>
      </w:pPr>
    </w:p>
    <w:p w14:paraId="3BCF208F" w14:textId="255C0E8A" w:rsidR="004F6E4F" w:rsidRPr="003F641E" w:rsidRDefault="004F6E4F" w:rsidP="00ED1C59">
      <w:pPr>
        <w:pStyle w:val="Textebrut"/>
        <w:tabs>
          <w:tab w:val="left" w:pos="1843"/>
        </w:tabs>
        <w:jc w:val="both"/>
        <w:rPr>
          <w:rFonts w:asciiTheme="minorHAnsi" w:hAnsiTheme="minorHAnsi" w:cstheme="minorHAnsi"/>
          <w:bCs/>
          <w:i/>
          <w:iCs/>
          <w:sz w:val="24"/>
          <w:szCs w:val="24"/>
          <w:lang w:val="fr-FR"/>
        </w:rPr>
      </w:pPr>
      <w:r w:rsidRPr="003F641E">
        <w:rPr>
          <w:rFonts w:asciiTheme="minorHAnsi" w:hAnsiTheme="minorHAnsi" w:cstheme="minorHAnsi"/>
          <w:bCs/>
          <w:i/>
          <w:iCs/>
          <w:sz w:val="24"/>
          <w:szCs w:val="24"/>
          <w:lang w:val="fr-FR"/>
        </w:rPr>
        <w:t>N’ayant aucune compétence juridique pour apprécier cette problématique complexe, je ne peux que faire le constat du fait que les avis de Maître ST</w:t>
      </w:r>
      <w:r w:rsidR="005163EE">
        <w:rPr>
          <w:rFonts w:asciiTheme="minorHAnsi" w:hAnsiTheme="minorHAnsi" w:cstheme="minorHAnsi"/>
          <w:bCs/>
          <w:i/>
          <w:iCs/>
          <w:sz w:val="24"/>
          <w:szCs w:val="24"/>
          <w:lang w:val="fr-FR"/>
        </w:rPr>
        <w:t>R</w:t>
      </w:r>
      <w:r w:rsidRPr="003F641E">
        <w:rPr>
          <w:rFonts w:asciiTheme="minorHAnsi" w:hAnsiTheme="minorHAnsi" w:cstheme="minorHAnsi"/>
          <w:bCs/>
          <w:i/>
          <w:iCs/>
          <w:sz w:val="24"/>
          <w:szCs w:val="24"/>
          <w:lang w:val="fr-FR"/>
        </w:rPr>
        <w:t>ONGYLOS, conseiller juridique du CHU et de Maître VANDERWECKENE, conseiller juridique de la bless</w:t>
      </w:r>
      <w:r w:rsidR="005163EE">
        <w:rPr>
          <w:rFonts w:asciiTheme="minorHAnsi" w:hAnsiTheme="minorHAnsi" w:cstheme="minorHAnsi"/>
          <w:bCs/>
          <w:i/>
          <w:iCs/>
          <w:sz w:val="24"/>
          <w:szCs w:val="24"/>
          <w:lang w:val="fr-FR"/>
        </w:rPr>
        <w:t>ée</w:t>
      </w:r>
      <w:r w:rsidRPr="003F641E">
        <w:rPr>
          <w:rFonts w:asciiTheme="minorHAnsi" w:hAnsiTheme="minorHAnsi" w:cstheme="minorHAnsi"/>
          <w:bCs/>
          <w:i/>
          <w:iCs/>
          <w:sz w:val="24"/>
          <w:szCs w:val="24"/>
          <w:lang w:val="fr-FR"/>
        </w:rPr>
        <w:t>, sont diamétralement opposées. Sauf erreur il n’y a même pas d’accord entre les conseillers</w:t>
      </w:r>
      <w:r>
        <w:rPr>
          <w:rFonts w:asciiTheme="minorHAnsi" w:hAnsiTheme="minorHAnsi" w:cstheme="minorHAnsi"/>
          <w:bCs/>
          <w:sz w:val="24"/>
          <w:szCs w:val="24"/>
          <w:lang w:val="fr-FR"/>
        </w:rPr>
        <w:t xml:space="preserve"> </w:t>
      </w:r>
      <w:r w:rsidRPr="003F641E">
        <w:rPr>
          <w:rFonts w:asciiTheme="minorHAnsi" w:hAnsiTheme="minorHAnsi" w:cstheme="minorHAnsi"/>
          <w:bCs/>
          <w:i/>
          <w:iCs/>
          <w:sz w:val="24"/>
          <w:szCs w:val="24"/>
          <w:lang w:val="fr-FR"/>
        </w:rPr>
        <w:t xml:space="preserve">juridiques des parties quant au fait de savoir si l’avis rendu par « </w:t>
      </w:r>
      <w:r w:rsidRPr="003F641E">
        <w:rPr>
          <w:rFonts w:asciiTheme="minorHAnsi" w:hAnsiTheme="minorHAnsi" w:cstheme="minorHAnsi"/>
          <w:b/>
          <w:i/>
          <w:iCs/>
          <w:sz w:val="24"/>
          <w:szCs w:val="24"/>
          <w:lang w:val="fr-FR"/>
        </w:rPr>
        <w:t>le service médical</w:t>
      </w:r>
      <w:r w:rsidRPr="003F641E">
        <w:rPr>
          <w:rFonts w:asciiTheme="minorHAnsi" w:hAnsiTheme="minorHAnsi" w:cstheme="minorHAnsi"/>
          <w:bCs/>
          <w:i/>
          <w:iCs/>
          <w:sz w:val="24"/>
          <w:szCs w:val="24"/>
          <w:lang w:val="fr-FR"/>
        </w:rPr>
        <w:t xml:space="preserve"> </w:t>
      </w:r>
      <w:r w:rsidRPr="003F641E">
        <w:rPr>
          <w:rFonts w:asciiTheme="minorHAnsi" w:hAnsiTheme="minorHAnsi" w:cstheme="minorHAnsi"/>
          <w:b/>
          <w:i/>
          <w:iCs/>
          <w:sz w:val="24"/>
          <w:szCs w:val="24"/>
          <w:lang w:val="fr-FR"/>
        </w:rPr>
        <w:t>compétent</w:t>
      </w:r>
      <w:r w:rsidR="005163EE">
        <w:rPr>
          <w:rFonts w:asciiTheme="minorHAnsi" w:hAnsiTheme="minorHAnsi" w:cstheme="minorHAnsi"/>
          <w:b/>
          <w:i/>
          <w:iCs/>
          <w:sz w:val="24"/>
          <w:szCs w:val="24"/>
          <w:lang w:val="fr-FR"/>
        </w:rPr>
        <w:t xml:space="preserve"> lie</w:t>
      </w:r>
      <w:r w:rsidRPr="003F641E">
        <w:rPr>
          <w:rFonts w:asciiTheme="minorHAnsi" w:hAnsiTheme="minorHAnsi" w:cstheme="minorHAnsi"/>
          <w:b/>
          <w:i/>
          <w:iCs/>
          <w:sz w:val="24"/>
          <w:szCs w:val="24"/>
          <w:lang w:val="fr-FR"/>
        </w:rPr>
        <w:t xml:space="preserve"> ou non le tribunal et l’expert judiciaire</w:t>
      </w:r>
      <w:r w:rsidRPr="003F641E">
        <w:rPr>
          <w:rFonts w:asciiTheme="minorHAnsi" w:hAnsiTheme="minorHAnsi" w:cstheme="minorHAnsi"/>
          <w:bCs/>
          <w:i/>
          <w:iCs/>
          <w:sz w:val="24"/>
          <w:szCs w:val="24"/>
          <w:lang w:val="fr-FR"/>
        </w:rPr>
        <w:t xml:space="preserve"> »… ?</w:t>
      </w:r>
    </w:p>
    <w:p w14:paraId="2BC5806A" w14:textId="52DC3514" w:rsidR="004F6E4F" w:rsidRPr="003F641E" w:rsidRDefault="004F6E4F" w:rsidP="00ED1C59">
      <w:pPr>
        <w:pStyle w:val="Textebrut"/>
        <w:tabs>
          <w:tab w:val="left" w:pos="1843"/>
        </w:tabs>
        <w:jc w:val="both"/>
        <w:rPr>
          <w:rFonts w:asciiTheme="minorHAnsi" w:hAnsiTheme="minorHAnsi" w:cstheme="minorHAnsi"/>
          <w:bCs/>
          <w:i/>
          <w:iCs/>
          <w:sz w:val="24"/>
          <w:szCs w:val="24"/>
          <w:lang w:val="fr-FR"/>
        </w:rPr>
      </w:pPr>
    </w:p>
    <w:p w14:paraId="64ED208C" w14:textId="7DDD5B95" w:rsidR="004F6E4F" w:rsidRPr="003F641E" w:rsidRDefault="004F6E4F" w:rsidP="00ED1C59">
      <w:pPr>
        <w:pStyle w:val="Textebrut"/>
        <w:tabs>
          <w:tab w:val="left" w:pos="1843"/>
        </w:tabs>
        <w:jc w:val="both"/>
        <w:rPr>
          <w:rFonts w:asciiTheme="minorHAnsi" w:hAnsiTheme="minorHAnsi" w:cstheme="minorHAnsi"/>
          <w:bCs/>
          <w:i/>
          <w:iCs/>
          <w:sz w:val="24"/>
          <w:szCs w:val="24"/>
          <w:lang w:val="fr-FR"/>
        </w:rPr>
      </w:pPr>
      <w:r w:rsidRPr="003F641E">
        <w:rPr>
          <w:rFonts w:asciiTheme="minorHAnsi" w:hAnsiTheme="minorHAnsi" w:cstheme="minorHAnsi"/>
          <w:bCs/>
          <w:i/>
          <w:iCs/>
          <w:sz w:val="24"/>
          <w:szCs w:val="24"/>
          <w:lang w:val="fr-FR"/>
        </w:rPr>
        <w:t>Il est clair, par ailleurs, qu’il n’y a pas d’accord entre les conseillers juridiques des parties quant à la question de savoir quel est le « service médical compétent » dans ce dossier.</w:t>
      </w:r>
    </w:p>
    <w:p w14:paraId="4FE7ADA2" w14:textId="05FD05FC" w:rsidR="004F6E4F" w:rsidRPr="003F641E" w:rsidRDefault="004F6E4F" w:rsidP="00ED1C59">
      <w:pPr>
        <w:pStyle w:val="Textebrut"/>
        <w:tabs>
          <w:tab w:val="left" w:pos="1843"/>
        </w:tabs>
        <w:jc w:val="both"/>
        <w:rPr>
          <w:rFonts w:asciiTheme="minorHAnsi" w:hAnsiTheme="minorHAnsi" w:cstheme="minorHAnsi"/>
          <w:bCs/>
          <w:i/>
          <w:iCs/>
          <w:sz w:val="24"/>
          <w:szCs w:val="24"/>
          <w:lang w:val="fr-FR"/>
        </w:rPr>
      </w:pPr>
    </w:p>
    <w:p w14:paraId="56DB37C3" w14:textId="4035FC6A" w:rsidR="004F6E4F" w:rsidRPr="003F641E" w:rsidRDefault="004F6E4F" w:rsidP="00ED1C59">
      <w:pPr>
        <w:pStyle w:val="Textebrut"/>
        <w:tabs>
          <w:tab w:val="left" w:pos="1843"/>
        </w:tabs>
        <w:jc w:val="both"/>
        <w:rPr>
          <w:rFonts w:asciiTheme="minorHAnsi" w:hAnsiTheme="minorHAnsi" w:cstheme="minorHAnsi"/>
          <w:b/>
          <w:i/>
          <w:iCs/>
          <w:sz w:val="24"/>
          <w:szCs w:val="24"/>
          <w:lang w:val="fr-FR"/>
        </w:rPr>
      </w:pPr>
      <w:r w:rsidRPr="003F641E">
        <w:rPr>
          <w:rFonts w:asciiTheme="minorHAnsi" w:hAnsiTheme="minorHAnsi" w:cstheme="minorHAnsi"/>
          <w:bCs/>
          <w:i/>
          <w:iCs/>
          <w:sz w:val="24"/>
          <w:szCs w:val="24"/>
          <w:lang w:val="fr-FR"/>
        </w:rPr>
        <w:t>Je rappellerai à ce sujet que la page deux de la déclaration d’accident établi</w:t>
      </w:r>
      <w:r w:rsidR="00F44E94">
        <w:rPr>
          <w:rFonts w:asciiTheme="minorHAnsi" w:hAnsiTheme="minorHAnsi" w:cstheme="minorHAnsi"/>
          <w:bCs/>
          <w:i/>
          <w:iCs/>
          <w:sz w:val="24"/>
          <w:szCs w:val="24"/>
          <w:lang w:val="fr-FR"/>
        </w:rPr>
        <w:t>e</w:t>
      </w:r>
      <w:r w:rsidRPr="003F641E">
        <w:rPr>
          <w:rFonts w:asciiTheme="minorHAnsi" w:hAnsiTheme="minorHAnsi" w:cstheme="minorHAnsi"/>
          <w:bCs/>
          <w:i/>
          <w:iCs/>
          <w:sz w:val="24"/>
          <w:szCs w:val="24"/>
          <w:lang w:val="fr-FR"/>
        </w:rPr>
        <w:t xml:space="preserve"> le 16/01/2012 (annexe </w:t>
      </w:r>
      <w:r w:rsidR="005163EE">
        <w:rPr>
          <w:rFonts w:asciiTheme="minorHAnsi" w:hAnsiTheme="minorHAnsi" w:cstheme="minorHAnsi"/>
          <w:bCs/>
          <w:i/>
          <w:iCs/>
          <w:sz w:val="24"/>
          <w:szCs w:val="24"/>
          <w:lang w:val="fr-FR"/>
        </w:rPr>
        <w:t>9</w:t>
      </w:r>
      <w:r w:rsidRPr="003F641E">
        <w:rPr>
          <w:rFonts w:asciiTheme="minorHAnsi" w:hAnsiTheme="minorHAnsi" w:cstheme="minorHAnsi"/>
          <w:bCs/>
          <w:i/>
          <w:iCs/>
          <w:sz w:val="24"/>
          <w:szCs w:val="24"/>
          <w:lang w:val="fr-FR"/>
        </w:rPr>
        <w:t xml:space="preserve"> bis) mentionne que le service externe chargé du contrôle médical e</w:t>
      </w:r>
      <w:r w:rsidR="005163EE">
        <w:rPr>
          <w:rFonts w:asciiTheme="minorHAnsi" w:hAnsiTheme="minorHAnsi" w:cstheme="minorHAnsi"/>
          <w:bCs/>
          <w:i/>
          <w:iCs/>
          <w:sz w:val="24"/>
          <w:szCs w:val="24"/>
          <w:lang w:val="fr-FR"/>
        </w:rPr>
        <w:t>s</w:t>
      </w:r>
      <w:r w:rsidRPr="003F641E">
        <w:rPr>
          <w:rFonts w:asciiTheme="minorHAnsi" w:hAnsiTheme="minorHAnsi" w:cstheme="minorHAnsi"/>
          <w:bCs/>
          <w:i/>
          <w:iCs/>
          <w:sz w:val="24"/>
          <w:szCs w:val="24"/>
          <w:lang w:val="fr-FR"/>
        </w:rPr>
        <w:t xml:space="preserve">t </w:t>
      </w:r>
      <w:r w:rsidRPr="003F641E">
        <w:rPr>
          <w:rFonts w:asciiTheme="minorHAnsi" w:hAnsiTheme="minorHAnsi" w:cstheme="minorHAnsi"/>
          <w:b/>
          <w:i/>
          <w:iCs/>
          <w:sz w:val="24"/>
          <w:szCs w:val="24"/>
          <w:lang w:val="fr-FR"/>
        </w:rPr>
        <w:t xml:space="preserve">l’Institut </w:t>
      </w:r>
      <w:proofErr w:type="spellStart"/>
      <w:r w:rsidRPr="003F641E">
        <w:rPr>
          <w:rFonts w:asciiTheme="minorHAnsi" w:hAnsiTheme="minorHAnsi" w:cstheme="minorHAnsi"/>
          <w:b/>
          <w:i/>
          <w:iCs/>
          <w:sz w:val="24"/>
          <w:szCs w:val="24"/>
          <w:lang w:val="fr-FR"/>
        </w:rPr>
        <w:t>Malvo</w:t>
      </w:r>
      <w:r w:rsidR="003F641E" w:rsidRPr="003F641E">
        <w:rPr>
          <w:rFonts w:asciiTheme="minorHAnsi" w:hAnsiTheme="minorHAnsi" w:cstheme="minorHAnsi"/>
          <w:b/>
          <w:i/>
          <w:iCs/>
          <w:sz w:val="24"/>
          <w:szCs w:val="24"/>
          <w:lang w:val="fr-FR"/>
        </w:rPr>
        <w:t>z</w:t>
      </w:r>
      <w:proofErr w:type="spellEnd"/>
      <w:r w:rsidR="003F641E" w:rsidRPr="003F641E">
        <w:rPr>
          <w:rFonts w:asciiTheme="minorHAnsi" w:hAnsiTheme="minorHAnsi" w:cstheme="minorHAnsi"/>
          <w:b/>
          <w:i/>
          <w:iCs/>
          <w:sz w:val="24"/>
          <w:szCs w:val="24"/>
          <w:lang w:val="fr-FR"/>
        </w:rPr>
        <w:t>.</w:t>
      </w:r>
    </w:p>
    <w:p w14:paraId="788C9814" w14:textId="44B321E3" w:rsidR="003F641E" w:rsidRPr="003F641E" w:rsidRDefault="003F641E" w:rsidP="00ED1C59">
      <w:pPr>
        <w:pStyle w:val="Textebrut"/>
        <w:tabs>
          <w:tab w:val="left" w:pos="1843"/>
        </w:tabs>
        <w:jc w:val="both"/>
        <w:rPr>
          <w:rFonts w:asciiTheme="minorHAnsi" w:hAnsiTheme="minorHAnsi" w:cstheme="minorHAnsi"/>
          <w:b/>
          <w:i/>
          <w:iCs/>
          <w:sz w:val="24"/>
          <w:szCs w:val="24"/>
          <w:lang w:val="fr-FR"/>
        </w:rPr>
      </w:pPr>
    </w:p>
    <w:p w14:paraId="2727ED97" w14:textId="0BCBEDEF" w:rsidR="003F641E" w:rsidRPr="003F641E" w:rsidRDefault="003F641E" w:rsidP="00ED1C59">
      <w:pPr>
        <w:pStyle w:val="Textebrut"/>
        <w:tabs>
          <w:tab w:val="left" w:pos="1843"/>
        </w:tabs>
        <w:jc w:val="both"/>
        <w:rPr>
          <w:rFonts w:asciiTheme="minorHAnsi" w:hAnsiTheme="minorHAnsi" w:cstheme="minorHAnsi"/>
          <w:i/>
          <w:iCs/>
          <w:sz w:val="24"/>
          <w:szCs w:val="24"/>
          <w:lang w:val="fr-FR"/>
        </w:rPr>
      </w:pPr>
      <w:r w:rsidRPr="003F641E">
        <w:rPr>
          <w:rFonts w:asciiTheme="minorHAnsi" w:hAnsiTheme="minorHAnsi" w:cstheme="minorHAnsi"/>
          <w:i/>
          <w:iCs/>
          <w:sz w:val="24"/>
          <w:szCs w:val="24"/>
          <w:lang w:val="fr-FR"/>
        </w:rPr>
        <w:t>Cet institut a effectivement été chargé par ETHIAS pour le compte du CHU de la mission de fixer le taux de l’invalidité permanente conservé par la victime</w:t>
      </w:r>
      <w:r w:rsidR="005163EE">
        <w:rPr>
          <w:rFonts w:asciiTheme="minorHAnsi" w:hAnsiTheme="minorHAnsi" w:cstheme="minorHAnsi"/>
          <w:i/>
          <w:iCs/>
          <w:sz w:val="24"/>
          <w:szCs w:val="24"/>
          <w:lang w:val="fr-FR"/>
        </w:rPr>
        <w:t>,</w:t>
      </w:r>
      <w:r w:rsidRPr="003F641E">
        <w:rPr>
          <w:rFonts w:asciiTheme="minorHAnsi" w:hAnsiTheme="minorHAnsi" w:cstheme="minorHAnsi"/>
          <w:i/>
          <w:iCs/>
          <w:sz w:val="24"/>
          <w:szCs w:val="24"/>
          <w:lang w:val="fr-FR"/>
        </w:rPr>
        <w:t xml:space="preserve"> par un courrier daté du 04/12/2012 (annexe 25 bis).</w:t>
      </w:r>
    </w:p>
    <w:p w14:paraId="594CC428" w14:textId="710E2791" w:rsidR="003F641E" w:rsidRPr="003F641E" w:rsidRDefault="003F641E" w:rsidP="00ED1C59">
      <w:pPr>
        <w:pStyle w:val="Textebrut"/>
        <w:tabs>
          <w:tab w:val="left" w:pos="1843"/>
        </w:tabs>
        <w:jc w:val="both"/>
        <w:rPr>
          <w:rFonts w:asciiTheme="minorHAnsi" w:hAnsiTheme="minorHAnsi" w:cstheme="minorHAnsi"/>
          <w:i/>
          <w:iCs/>
          <w:sz w:val="24"/>
          <w:szCs w:val="24"/>
          <w:lang w:val="fr-FR"/>
        </w:rPr>
      </w:pPr>
    </w:p>
    <w:p w14:paraId="4710DB3D" w14:textId="365ACABE" w:rsidR="003F641E" w:rsidRPr="003F641E" w:rsidRDefault="003F641E" w:rsidP="00ED1C59">
      <w:pPr>
        <w:pStyle w:val="Textebrut"/>
        <w:tabs>
          <w:tab w:val="left" w:pos="1843"/>
        </w:tabs>
        <w:jc w:val="both"/>
        <w:rPr>
          <w:rFonts w:asciiTheme="minorHAnsi" w:hAnsiTheme="minorHAnsi" w:cstheme="minorHAnsi"/>
          <w:i/>
          <w:iCs/>
          <w:sz w:val="24"/>
          <w:szCs w:val="24"/>
          <w:lang w:val="fr-FR"/>
        </w:rPr>
      </w:pPr>
      <w:r w:rsidRPr="003F641E">
        <w:rPr>
          <w:rFonts w:asciiTheme="minorHAnsi" w:hAnsiTheme="minorHAnsi" w:cstheme="minorHAnsi"/>
          <w:i/>
          <w:iCs/>
          <w:sz w:val="24"/>
          <w:szCs w:val="24"/>
          <w:lang w:val="fr-FR"/>
        </w:rPr>
        <w:t>La bless</w:t>
      </w:r>
      <w:r w:rsidR="005163EE">
        <w:rPr>
          <w:rFonts w:asciiTheme="minorHAnsi" w:hAnsiTheme="minorHAnsi" w:cstheme="minorHAnsi"/>
          <w:i/>
          <w:iCs/>
          <w:sz w:val="24"/>
          <w:szCs w:val="24"/>
          <w:lang w:val="fr-FR"/>
        </w:rPr>
        <w:t>ée</w:t>
      </w:r>
      <w:r w:rsidRPr="003F641E">
        <w:rPr>
          <w:rFonts w:asciiTheme="minorHAnsi" w:hAnsiTheme="minorHAnsi" w:cstheme="minorHAnsi"/>
          <w:i/>
          <w:iCs/>
          <w:sz w:val="24"/>
          <w:szCs w:val="24"/>
          <w:lang w:val="fr-FR"/>
        </w:rPr>
        <w:t xml:space="preserve"> n’a jamais été convoqué</w:t>
      </w:r>
      <w:r w:rsidR="005163EE">
        <w:rPr>
          <w:rFonts w:asciiTheme="minorHAnsi" w:hAnsiTheme="minorHAnsi" w:cstheme="minorHAnsi"/>
          <w:i/>
          <w:iCs/>
          <w:sz w:val="24"/>
          <w:szCs w:val="24"/>
          <w:lang w:val="fr-FR"/>
        </w:rPr>
        <w:t>e</w:t>
      </w:r>
      <w:r w:rsidRPr="003F641E">
        <w:rPr>
          <w:rFonts w:asciiTheme="minorHAnsi" w:hAnsiTheme="minorHAnsi" w:cstheme="minorHAnsi"/>
          <w:i/>
          <w:iCs/>
          <w:sz w:val="24"/>
          <w:szCs w:val="24"/>
          <w:lang w:val="fr-FR"/>
        </w:rPr>
        <w:t xml:space="preserve"> à l’Institut </w:t>
      </w:r>
      <w:proofErr w:type="spellStart"/>
      <w:r w:rsidRPr="003F641E">
        <w:rPr>
          <w:rFonts w:asciiTheme="minorHAnsi" w:hAnsiTheme="minorHAnsi" w:cstheme="minorHAnsi"/>
          <w:i/>
          <w:iCs/>
          <w:sz w:val="24"/>
          <w:szCs w:val="24"/>
          <w:lang w:val="fr-FR"/>
        </w:rPr>
        <w:t>Malvoz</w:t>
      </w:r>
      <w:proofErr w:type="spellEnd"/>
      <w:r w:rsidRPr="003F641E">
        <w:rPr>
          <w:rFonts w:asciiTheme="minorHAnsi" w:hAnsiTheme="minorHAnsi" w:cstheme="minorHAnsi"/>
          <w:i/>
          <w:iCs/>
          <w:sz w:val="24"/>
          <w:szCs w:val="24"/>
          <w:lang w:val="fr-FR"/>
        </w:rPr>
        <w:t>, mais elle a été convoquée peu après, en date du 13/02/2013, par le Docteur Marc-Marie THOREAU médecin expert attaché au Centre Médical, MEDEX de Liège.</w:t>
      </w:r>
    </w:p>
    <w:p w14:paraId="548F1BCC" w14:textId="112A5361" w:rsidR="003F641E" w:rsidRPr="003F641E" w:rsidRDefault="003F641E" w:rsidP="00ED1C59">
      <w:pPr>
        <w:pStyle w:val="Textebrut"/>
        <w:tabs>
          <w:tab w:val="left" w:pos="1843"/>
        </w:tabs>
        <w:jc w:val="both"/>
        <w:rPr>
          <w:rFonts w:asciiTheme="minorHAnsi" w:hAnsiTheme="minorHAnsi" w:cstheme="minorHAnsi"/>
          <w:i/>
          <w:iCs/>
          <w:sz w:val="24"/>
          <w:szCs w:val="24"/>
          <w:lang w:val="fr-FR"/>
        </w:rPr>
      </w:pPr>
    </w:p>
    <w:p w14:paraId="1FCD63CB" w14:textId="5420A0B5" w:rsidR="003F641E" w:rsidRPr="003F641E" w:rsidRDefault="003F641E" w:rsidP="00ED1C59">
      <w:pPr>
        <w:pStyle w:val="Textebrut"/>
        <w:tabs>
          <w:tab w:val="left" w:pos="1843"/>
        </w:tabs>
        <w:jc w:val="both"/>
        <w:rPr>
          <w:rFonts w:asciiTheme="minorHAnsi" w:hAnsiTheme="minorHAnsi" w:cstheme="minorHAnsi"/>
          <w:i/>
          <w:iCs/>
          <w:sz w:val="24"/>
          <w:szCs w:val="24"/>
          <w:lang w:val="fr-FR"/>
        </w:rPr>
      </w:pPr>
      <w:r w:rsidRPr="003F641E">
        <w:rPr>
          <w:rFonts w:asciiTheme="minorHAnsi" w:hAnsiTheme="minorHAnsi" w:cstheme="minorHAnsi"/>
          <w:i/>
          <w:iCs/>
          <w:sz w:val="24"/>
          <w:szCs w:val="24"/>
          <w:lang w:val="fr-FR"/>
        </w:rPr>
        <w:t xml:space="preserve">Tout porte à croire que le MEDEX a été chargé de la procédure d’évaluation par l’Institut </w:t>
      </w:r>
      <w:proofErr w:type="spellStart"/>
      <w:r w:rsidRPr="003F641E">
        <w:rPr>
          <w:rFonts w:asciiTheme="minorHAnsi" w:hAnsiTheme="minorHAnsi" w:cstheme="minorHAnsi"/>
          <w:i/>
          <w:iCs/>
          <w:sz w:val="24"/>
          <w:szCs w:val="24"/>
          <w:lang w:val="fr-FR"/>
        </w:rPr>
        <w:t>Malvoz</w:t>
      </w:r>
      <w:proofErr w:type="spellEnd"/>
      <w:r w:rsidRPr="003F641E">
        <w:rPr>
          <w:rFonts w:asciiTheme="minorHAnsi" w:hAnsiTheme="minorHAnsi" w:cstheme="minorHAnsi"/>
          <w:i/>
          <w:iCs/>
          <w:sz w:val="24"/>
          <w:szCs w:val="24"/>
          <w:lang w:val="fr-FR"/>
        </w:rPr>
        <w:t>…</w:t>
      </w:r>
    </w:p>
    <w:p w14:paraId="53DCD0DA" w14:textId="59451F99" w:rsidR="003F641E" w:rsidRPr="003F641E" w:rsidRDefault="003F641E" w:rsidP="00ED1C59">
      <w:pPr>
        <w:pStyle w:val="Textebrut"/>
        <w:tabs>
          <w:tab w:val="left" w:pos="1843"/>
        </w:tabs>
        <w:jc w:val="both"/>
        <w:rPr>
          <w:rFonts w:asciiTheme="minorHAnsi" w:hAnsiTheme="minorHAnsi" w:cstheme="minorHAnsi"/>
          <w:i/>
          <w:iCs/>
          <w:sz w:val="24"/>
          <w:szCs w:val="24"/>
          <w:lang w:val="fr-FR"/>
        </w:rPr>
      </w:pPr>
    </w:p>
    <w:p w14:paraId="4BDA19B5" w14:textId="42EAAADE" w:rsidR="003F641E" w:rsidRPr="003F641E" w:rsidRDefault="003F641E" w:rsidP="00ED1C59">
      <w:pPr>
        <w:pStyle w:val="Textebrut"/>
        <w:tabs>
          <w:tab w:val="left" w:pos="1843"/>
        </w:tabs>
        <w:jc w:val="both"/>
        <w:rPr>
          <w:rFonts w:asciiTheme="minorHAnsi" w:hAnsiTheme="minorHAnsi" w:cstheme="minorHAnsi"/>
          <w:i/>
          <w:iCs/>
          <w:sz w:val="24"/>
          <w:szCs w:val="24"/>
          <w:lang w:val="fr-FR"/>
        </w:rPr>
      </w:pPr>
      <w:r w:rsidRPr="003F641E">
        <w:rPr>
          <w:rFonts w:asciiTheme="minorHAnsi" w:hAnsiTheme="minorHAnsi" w:cstheme="minorHAnsi"/>
          <w:i/>
          <w:iCs/>
          <w:sz w:val="24"/>
          <w:szCs w:val="24"/>
          <w:lang w:val="fr-FR"/>
        </w:rPr>
        <w:t>Cela reste une hypothèse dès lors que n’a pas été versé</w:t>
      </w:r>
      <w:r w:rsidR="005163EE">
        <w:rPr>
          <w:rFonts w:asciiTheme="minorHAnsi" w:hAnsiTheme="minorHAnsi" w:cstheme="minorHAnsi"/>
          <w:i/>
          <w:iCs/>
          <w:sz w:val="24"/>
          <w:szCs w:val="24"/>
          <w:lang w:val="fr-FR"/>
        </w:rPr>
        <w:t>e</w:t>
      </w:r>
      <w:r w:rsidRPr="003F641E">
        <w:rPr>
          <w:rFonts w:asciiTheme="minorHAnsi" w:hAnsiTheme="minorHAnsi" w:cstheme="minorHAnsi"/>
          <w:i/>
          <w:iCs/>
          <w:sz w:val="24"/>
          <w:szCs w:val="24"/>
          <w:lang w:val="fr-FR"/>
        </w:rPr>
        <w:t xml:space="preserve"> aux débats la lettre de mission transmise au MEDEX.</w:t>
      </w:r>
    </w:p>
    <w:p w14:paraId="02F63AC5" w14:textId="3B394CD7" w:rsidR="003F641E" w:rsidRPr="003F641E" w:rsidRDefault="003F641E" w:rsidP="00ED1C59">
      <w:pPr>
        <w:pStyle w:val="Textebrut"/>
        <w:tabs>
          <w:tab w:val="left" w:pos="1843"/>
        </w:tabs>
        <w:jc w:val="both"/>
        <w:rPr>
          <w:rFonts w:asciiTheme="minorHAnsi" w:hAnsiTheme="minorHAnsi" w:cstheme="minorHAnsi"/>
          <w:i/>
          <w:iCs/>
          <w:sz w:val="24"/>
          <w:szCs w:val="24"/>
          <w:lang w:val="fr-FR"/>
        </w:rPr>
      </w:pPr>
    </w:p>
    <w:p w14:paraId="2045B392" w14:textId="3FA9DC24" w:rsidR="003F641E" w:rsidRDefault="003F641E" w:rsidP="00ED1C59">
      <w:pPr>
        <w:pStyle w:val="Textebrut"/>
        <w:tabs>
          <w:tab w:val="left" w:pos="1843"/>
        </w:tabs>
        <w:jc w:val="both"/>
        <w:rPr>
          <w:rFonts w:asciiTheme="minorHAnsi" w:hAnsiTheme="minorHAnsi" w:cstheme="minorHAnsi"/>
          <w:i/>
          <w:iCs/>
          <w:sz w:val="24"/>
          <w:szCs w:val="24"/>
          <w:lang w:val="fr-FR"/>
        </w:rPr>
      </w:pPr>
      <w:r w:rsidRPr="003F641E">
        <w:rPr>
          <w:rFonts w:asciiTheme="minorHAnsi" w:hAnsiTheme="minorHAnsi" w:cstheme="minorHAnsi"/>
          <w:i/>
          <w:iCs/>
          <w:sz w:val="24"/>
          <w:szCs w:val="24"/>
          <w:lang w:val="fr-FR"/>
        </w:rPr>
        <w:t>En bref d’un strict point de vue juridique, nous nous trouvons dans un complet imbroglio.</w:t>
      </w:r>
    </w:p>
    <w:p w14:paraId="726F3495" w14:textId="2F411A5C" w:rsidR="005163EE" w:rsidRDefault="005163EE" w:rsidP="00ED1C59">
      <w:pPr>
        <w:pStyle w:val="Textebrut"/>
        <w:tabs>
          <w:tab w:val="left" w:pos="1843"/>
        </w:tabs>
        <w:jc w:val="both"/>
        <w:rPr>
          <w:rFonts w:asciiTheme="minorHAnsi" w:hAnsiTheme="minorHAnsi" w:cstheme="minorHAnsi"/>
          <w:i/>
          <w:iCs/>
          <w:sz w:val="24"/>
          <w:szCs w:val="24"/>
          <w:lang w:val="fr-FR"/>
        </w:rPr>
      </w:pPr>
    </w:p>
    <w:p w14:paraId="6F9D1A5A" w14:textId="624D7907" w:rsidR="005163EE" w:rsidRDefault="005163EE" w:rsidP="00ED1C59">
      <w:pPr>
        <w:pStyle w:val="Textebrut"/>
        <w:tabs>
          <w:tab w:val="left" w:pos="1843"/>
        </w:tabs>
        <w:jc w:val="both"/>
        <w:rPr>
          <w:rFonts w:asciiTheme="minorHAnsi" w:hAnsiTheme="minorHAnsi" w:cstheme="minorHAnsi"/>
          <w:i/>
          <w:iCs/>
          <w:sz w:val="24"/>
          <w:szCs w:val="24"/>
          <w:lang w:val="fr-FR"/>
        </w:rPr>
      </w:pPr>
      <w:r>
        <w:rPr>
          <w:rFonts w:asciiTheme="minorHAnsi" w:hAnsiTheme="minorHAnsi" w:cstheme="minorHAnsi"/>
          <w:i/>
          <w:iCs/>
          <w:sz w:val="24"/>
          <w:szCs w:val="24"/>
          <w:lang w:val="fr-FR"/>
        </w:rPr>
        <w:t>C’est au tribunal qu’il reviendra de résoudre cette problématique qui n’est pas de ma compétence.</w:t>
      </w:r>
    </w:p>
    <w:p w14:paraId="757E3557" w14:textId="05D14B69" w:rsidR="003F641E" w:rsidRDefault="003F641E" w:rsidP="00ED1C59">
      <w:pPr>
        <w:pStyle w:val="Textebrut"/>
        <w:tabs>
          <w:tab w:val="left" w:pos="1843"/>
        </w:tabs>
        <w:jc w:val="both"/>
        <w:rPr>
          <w:rFonts w:asciiTheme="minorHAnsi" w:hAnsiTheme="minorHAnsi" w:cstheme="minorHAnsi"/>
          <w:i/>
          <w:iCs/>
          <w:sz w:val="24"/>
          <w:szCs w:val="24"/>
          <w:lang w:val="fr-FR"/>
        </w:rPr>
      </w:pPr>
    </w:p>
    <w:p w14:paraId="412D622A" w14:textId="79542845" w:rsidR="003F641E" w:rsidRPr="007D1AD1" w:rsidRDefault="00EA53FA" w:rsidP="00ED1C59">
      <w:pPr>
        <w:pStyle w:val="Textebrut"/>
        <w:tabs>
          <w:tab w:val="left" w:pos="1843"/>
        </w:tabs>
        <w:jc w:val="both"/>
        <w:rPr>
          <w:rFonts w:asciiTheme="minorHAnsi" w:hAnsiTheme="minorHAnsi" w:cstheme="minorHAnsi"/>
          <w:sz w:val="24"/>
          <w:szCs w:val="24"/>
          <w:lang w:val="fr-FR"/>
        </w:rPr>
      </w:pPr>
      <w:r w:rsidRPr="007D1AD1">
        <w:rPr>
          <w:rFonts w:asciiTheme="minorHAnsi" w:hAnsiTheme="minorHAnsi" w:cstheme="minorHAnsi"/>
          <w:sz w:val="24"/>
          <w:szCs w:val="24"/>
          <w:lang w:val="fr-FR"/>
        </w:rPr>
        <w:t>D’un point de vue médical, la position des parties a été confirmée par celle</w:t>
      </w:r>
      <w:r w:rsidR="005163EE">
        <w:rPr>
          <w:rFonts w:asciiTheme="minorHAnsi" w:hAnsiTheme="minorHAnsi" w:cstheme="minorHAnsi"/>
          <w:sz w:val="24"/>
          <w:szCs w:val="24"/>
          <w:lang w:val="fr-FR"/>
        </w:rPr>
        <w:t>s</w:t>
      </w:r>
      <w:r w:rsidRPr="007D1AD1">
        <w:rPr>
          <w:rFonts w:asciiTheme="minorHAnsi" w:hAnsiTheme="minorHAnsi" w:cstheme="minorHAnsi"/>
          <w:sz w:val="24"/>
          <w:szCs w:val="24"/>
          <w:lang w:val="fr-FR"/>
        </w:rPr>
        <w:t>-ci dans la réponse aux préliminaires à savoir que pour le Docteur RENOTTE</w:t>
      </w:r>
      <w:r w:rsidR="007D1AD1" w:rsidRPr="007D1AD1">
        <w:rPr>
          <w:rFonts w:asciiTheme="minorHAnsi" w:hAnsiTheme="minorHAnsi" w:cstheme="minorHAnsi"/>
          <w:sz w:val="24"/>
          <w:szCs w:val="24"/>
          <w:lang w:val="fr-FR"/>
        </w:rPr>
        <w:t xml:space="preserve"> il y a une aggravation à tout le moins subjective ce qui a amené les docteurs THOREAU et MATAGNE du MEDEX à retenir un taux de 6 %, taux qui selon lui doit être porté à 12 % compte tenu du principe de globalisation alors que pour le</w:t>
      </w:r>
      <w:r w:rsidR="005163EE">
        <w:rPr>
          <w:rFonts w:asciiTheme="minorHAnsi" w:hAnsiTheme="minorHAnsi" w:cstheme="minorHAnsi"/>
          <w:sz w:val="24"/>
          <w:szCs w:val="24"/>
          <w:lang w:val="fr-FR"/>
        </w:rPr>
        <w:t xml:space="preserve"> Docteur WILLEMS,</w:t>
      </w:r>
      <w:r w:rsidR="007D1AD1" w:rsidRPr="007D1AD1">
        <w:rPr>
          <w:rFonts w:asciiTheme="minorHAnsi" w:hAnsiTheme="minorHAnsi" w:cstheme="minorHAnsi"/>
          <w:sz w:val="24"/>
          <w:szCs w:val="24"/>
          <w:lang w:val="fr-FR"/>
        </w:rPr>
        <w:t xml:space="preserve"> médecin conseil du CHU</w:t>
      </w:r>
      <w:r w:rsidR="005163EE">
        <w:rPr>
          <w:rFonts w:asciiTheme="minorHAnsi" w:hAnsiTheme="minorHAnsi" w:cstheme="minorHAnsi"/>
          <w:sz w:val="24"/>
          <w:szCs w:val="24"/>
          <w:lang w:val="fr-FR"/>
        </w:rPr>
        <w:t>,</w:t>
      </w:r>
      <w:r w:rsidR="007D1AD1" w:rsidRPr="007D1AD1">
        <w:rPr>
          <w:rFonts w:asciiTheme="minorHAnsi" w:hAnsiTheme="minorHAnsi" w:cstheme="minorHAnsi"/>
          <w:sz w:val="24"/>
          <w:szCs w:val="24"/>
          <w:lang w:val="fr-FR"/>
        </w:rPr>
        <w:t xml:space="preserve"> il n’y a pas lieu de retenir d’incapacité permanente partielle dès lors que l’état antérieur de </w:t>
      </w:r>
      <w:r w:rsidR="00447DB5">
        <w:rPr>
          <w:rFonts w:asciiTheme="minorHAnsi" w:hAnsiTheme="minorHAnsi" w:cstheme="minorHAnsi"/>
          <w:sz w:val="24"/>
          <w:szCs w:val="24"/>
          <w:lang w:val="fr-FR"/>
        </w:rPr>
        <w:t xml:space="preserve">Madame </w:t>
      </w:r>
      <w:r w:rsidR="003C0129">
        <w:rPr>
          <w:rFonts w:asciiTheme="minorHAnsi" w:hAnsiTheme="minorHAnsi" w:cstheme="minorHAnsi"/>
          <w:sz w:val="24"/>
          <w:szCs w:val="24"/>
          <w:lang w:val="fr-FR"/>
        </w:rPr>
        <w:t>D</w:t>
      </w:r>
      <w:r w:rsidR="007D1AD1" w:rsidRPr="007D1AD1">
        <w:rPr>
          <w:rFonts w:asciiTheme="minorHAnsi" w:hAnsiTheme="minorHAnsi" w:cstheme="minorHAnsi"/>
          <w:sz w:val="24"/>
          <w:szCs w:val="24"/>
          <w:lang w:val="fr-FR"/>
        </w:rPr>
        <w:t xml:space="preserve"> a évolué pour son propre compte, il partage donc l’avis de l’expert quant à ce d’un point de vue médical.</w:t>
      </w:r>
    </w:p>
    <w:p w14:paraId="6E2C2A5E" w14:textId="77777777" w:rsidR="00EA53FA" w:rsidRPr="007D1AD1" w:rsidRDefault="00EA53FA" w:rsidP="00ED1C59">
      <w:pPr>
        <w:pStyle w:val="Textebrut"/>
        <w:tabs>
          <w:tab w:val="left" w:pos="1843"/>
        </w:tabs>
        <w:jc w:val="both"/>
        <w:rPr>
          <w:rFonts w:asciiTheme="minorHAnsi" w:hAnsiTheme="minorHAnsi" w:cstheme="minorHAnsi"/>
          <w:bCs/>
          <w:sz w:val="24"/>
          <w:szCs w:val="24"/>
          <w:lang w:val="fr-FR"/>
        </w:rPr>
      </w:pPr>
    </w:p>
    <w:p w14:paraId="3085A6E0" w14:textId="2420225F" w:rsidR="00E20A46" w:rsidRDefault="001B4C88"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 </w:t>
      </w:r>
      <w:r w:rsidR="005163EE">
        <w:rPr>
          <w:rFonts w:asciiTheme="minorHAnsi" w:hAnsiTheme="minorHAnsi" w:cstheme="minorHAnsi"/>
          <w:bCs/>
          <w:sz w:val="24"/>
          <w:szCs w:val="24"/>
          <w:lang w:val="fr-FR"/>
        </w:rPr>
        <w:t>Chronologiquement, i</w:t>
      </w:r>
      <w:r w:rsidR="007D1AD1">
        <w:rPr>
          <w:rFonts w:asciiTheme="minorHAnsi" w:hAnsiTheme="minorHAnsi" w:cstheme="minorHAnsi"/>
          <w:bCs/>
          <w:sz w:val="24"/>
          <w:szCs w:val="24"/>
          <w:lang w:val="fr-FR"/>
        </w:rPr>
        <w:t xml:space="preserve">l n’est pas contesté que l’Institut </w:t>
      </w:r>
      <w:proofErr w:type="spellStart"/>
      <w:r w:rsidR="007D1AD1">
        <w:rPr>
          <w:rFonts w:asciiTheme="minorHAnsi" w:hAnsiTheme="minorHAnsi" w:cstheme="minorHAnsi"/>
          <w:bCs/>
          <w:sz w:val="24"/>
          <w:szCs w:val="24"/>
          <w:lang w:val="fr-FR"/>
        </w:rPr>
        <w:t>Malvoz</w:t>
      </w:r>
      <w:proofErr w:type="spellEnd"/>
      <w:r w:rsidR="007D1AD1">
        <w:rPr>
          <w:rFonts w:asciiTheme="minorHAnsi" w:hAnsiTheme="minorHAnsi" w:cstheme="minorHAnsi"/>
          <w:bCs/>
          <w:sz w:val="24"/>
          <w:szCs w:val="24"/>
          <w:lang w:val="fr-FR"/>
        </w:rPr>
        <w:t xml:space="preserve"> a reçu un courrier le 4 décembre 2012 afin qu’il fixe le taux d’invalidité permanente conservée par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007D1AD1">
        <w:rPr>
          <w:rFonts w:asciiTheme="minorHAnsi" w:hAnsiTheme="minorHAnsi" w:cstheme="minorHAnsi"/>
          <w:bCs/>
          <w:sz w:val="24"/>
          <w:szCs w:val="24"/>
          <w:lang w:val="fr-FR"/>
        </w:rPr>
        <w:t>.</w:t>
      </w:r>
    </w:p>
    <w:p w14:paraId="686A92B6" w14:textId="5B8B4AA0" w:rsidR="007D1AD1" w:rsidRDefault="007D1AD1" w:rsidP="00ED1C59">
      <w:pPr>
        <w:pStyle w:val="Textebrut"/>
        <w:tabs>
          <w:tab w:val="left" w:pos="1843"/>
        </w:tabs>
        <w:jc w:val="both"/>
        <w:rPr>
          <w:rFonts w:asciiTheme="minorHAnsi" w:hAnsiTheme="minorHAnsi" w:cstheme="minorHAnsi"/>
          <w:bCs/>
          <w:sz w:val="24"/>
          <w:szCs w:val="24"/>
          <w:lang w:val="fr-FR"/>
        </w:rPr>
      </w:pPr>
    </w:p>
    <w:p w14:paraId="09BAB54B" w14:textId="6C50AC76" w:rsidR="007D1AD1" w:rsidRDefault="00447DB5"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lastRenderedPageBreak/>
        <w:t xml:space="preserve">Madame </w:t>
      </w:r>
      <w:r w:rsidR="003C0129">
        <w:rPr>
          <w:rFonts w:asciiTheme="minorHAnsi" w:hAnsiTheme="minorHAnsi" w:cstheme="minorHAnsi"/>
          <w:bCs/>
          <w:sz w:val="24"/>
          <w:szCs w:val="24"/>
          <w:lang w:val="fr-FR"/>
        </w:rPr>
        <w:t>D</w:t>
      </w:r>
      <w:r w:rsidR="007D1AD1">
        <w:rPr>
          <w:rFonts w:asciiTheme="minorHAnsi" w:hAnsiTheme="minorHAnsi" w:cstheme="minorHAnsi"/>
          <w:bCs/>
          <w:sz w:val="24"/>
          <w:szCs w:val="24"/>
          <w:lang w:val="fr-FR"/>
        </w:rPr>
        <w:t xml:space="preserve"> n’a pas été convoquée par l’Institut </w:t>
      </w:r>
      <w:proofErr w:type="spellStart"/>
      <w:r w:rsidR="007D1AD1">
        <w:rPr>
          <w:rFonts w:asciiTheme="minorHAnsi" w:hAnsiTheme="minorHAnsi" w:cstheme="minorHAnsi"/>
          <w:bCs/>
          <w:sz w:val="24"/>
          <w:szCs w:val="24"/>
          <w:lang w:val="fr-FR"/>
        </w:rPr>
        <w:t>Malvoz</w:t>
      </w:r>
      <w:proofErr w:type="spellEnd"/>
      <w:r w:rsidR="007D1AD1">
        <w:rPr>
          <w:rFonts w:asciiTheme="minorHAnsi" w:hAnsiTheme="minorHAnsi" w:cstheme="minorHAnsi"/>
          <w:bCs/>
          <w:sz w:val="24"/>
          <w:szCs w:val="24"/>
          <w:lang w:val="fr-FR"/>
        </w:rPr>
        <w:t xml:space="preserve"> mais a été examiné</w:t>
      </w:r>
      <w:r w:rsidR="00FB3EBC">
        <w:rPr>
          <w:rFonts w:asciiTheme="minorHAnsi" w:hAnsiTheme="minorHAnsi" w:cstheme="minorHAnsi"/>
          <w:bCs/>
          <w:sz w:val="24"/>
          <w:szCs w:val="24"/>
          <w:lang w:val="fr-FR"/>
        </w:rPr>
        <w:t>e</w:t>
      </w:r>
      <w:r w:rsidR="005163EE">
        <w:rPr>
          <w:rFonts w:asciiTheme="minorHAnsi" w:hAnsiTheme="minorHAnsi" w:cstheme="minorHAnsi"/>
          <w:bCs/>
          <w:sz w:val="24"/>
          <w:szCs w:val="24"/>
          <w:lang w:val="fr-FR"/>
        </w:rPr>
        <w:t xml:space="preserve"> peu après</w:t>
      </w:r>
      <w:r w:rsidR="007D1AD1">
        <w:rPr>
          <w:rFonts w:asciiTheme="minorHAnsi" w:hAnsiTheme="minorHAnsi" w:cstheme="minorHAnsi"/>
          <w:bCs/>
          <w:sz w:val="24"/>
          <w:szCs w:val="24"/>
          <w:lang w:val="fr-FR"/>
        </w:rPr>
        <w:t xml:space="preserve"> par les Docteurs THOREAU et MATAGNE du MEDEX qui lui ont envoyé des conclusions le 13 février 2013 retenant un taux d’incapacité permanente partielle de  </w:t>
      </w:r>
    </w:p>
    <w:p w14:paraId="25992834" w14:textId="0977AFFA" w:rsidR="005163EE" w:rsidRDefault="005163EE"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6 %.</w:t>
      </w:r>
    </w:p>
    <w:p w14:paraId="122F2158" w14:textId="351EF773" w:rsidR="007D1AD1" w:rsidRDefault="007D1AD1" w:rsidP="00ED1C59">
      <w:pPr>
        <w:pStyle w:val="Textebrut"/>
        <w:tabs>
          <w:tab w:val="left" w:pos="1843"/>
        </w:tabs>
        <w:jc w:val="both"/>
        <w:rPr>
          <w:rFonts w:asciiTheme="minorHAnsi" w:hAnsiTheme="minorHAnsi" w:cstheme="minorHAnsi"/>
          <w:bCs/>
          <w:sz w:val="24"/>
          <w:szCs w:val="24"/>
          <w:lang w:val="fr-FR"/>
        </w:rPr>
      </w:pPr>
    </w:p>
    <w:p w14:paraId="0007BF63" w14:textId="352FF246" w:rsidR="007D1AD1" w:rsidRDefault="007D1AD1"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Dans ce</w:t>
      </w:r>
      <w:r w:rsidR="005163EE">
        <w:rPr>
          <w:rFonts w:asciiTheme="minorHAnsi" w:hAnsiTheme="minorHAnsi" w:cstheme="minorHAnsi"/>
          <w:bCs/>
          <w:sz w:val="24"/>
          <w:szCs w:val="24"/>
          <w:lang w:val="fr-FR"/>
        </w:rPr>
        <w:t>s conclusions</w:t>
      </w:r>
      <w:r>
        <w:rPr>
          <w:rFonts w:asciiTheme="minorHAnsi" w:hAnsiTheme="minorHAnsi" w:cstheme="minorHAnsi"/>
          <w:bCs/>
          <w:sz w:val="24"/>
          <w:szCs w:val="24"/>
          <w:lang w:val="fr-FR"/>
        </w:rPr>
        <w:t xml:space="preserve"> il est indiqué :</w:t>
      </w:r>
    </w:p>
    <w:p w14:paraId="44BC935B" w14:textId="116DDC42" w:rsidR="007D1AD1" w:rsidRDefault="007D1AD1" w:rsidP="00ED1C59">
      <w:pPr>
        <w:pStyle w:val="Textebrut"/>
        <w:tabs>
          <w:tab w:val="left" w:pos="1843"/>
        </w:tabs>
        <w:jc w:val="both"/>
        <w:rPr>
          <w:rFonts w:asciiTheme="minorHAnsi" w:hAnsiTheme="minorHAnsi" w:cstheme="minorHAnsi"/>
          <w:bCs/>
          <w:sz w:val="24"/>
          <w:szCs w:val="24"/>
          <w:lang w:val="fr-FR"/>
        </w:rPr>
      </w:pPr>
    </w:p>
    <w:p w14:paraId="757CB1A7" w14:textId="77777777" w:rsidR="007D1AD1" w:rsidRPr="005163EE" w:rsidRDefault="007D1AD1" w:rsidP="00ED1C59">
      <w:pPr>
        <w:pStyle w:val="Textebrut"/>
        <w:tabs>
          <w:tab w:val="left" w:pos="1843"/>
        </w:tabs>
        <w:jc w:val="both"/>
        <w:rPr>
          <w:rFonts w:asciiTheme="minorHAnsi" w:hAnsiTheme="minorHAnsi" w:cstheme="minorHAnsi"/>
          <w:bCs/>
          <w:i/>
          <w:iCs/>
          <w:sz w:val="24"/>
          <w:szCs w:val="24"/>
          <w:lang w:val="fr-FR"/>
        </w:rPr>
      </w:pPr>
      <w:r w:rsidRPr="005163EE">
        <w:rPr>
          <w:rFonts w:asciiTheme="minorHAnsi" w:hAnsiTheme="minorHAnsi" w:cstheme="minorHAnsi"/>
          <w:bCs/>
          <w:i/>
          <w:iCs/>
          <w:sz w:val="24"/>
          <w:szCs w:val="24"/>
          <w:lang w:val="fr-FR"/>
        </w:rPr>
        <w:t>Luxation de la rotule droits de son genou arthrosique en 12/2011.</w:t>
      </w:r>
    </w:p>
    <w:p w14:paraId="794865D3" w14:textId="08341ACD" w:rsidR="007D1AD1" w:rsidRPr="00601075" w:rsidRDefault="007D1AD1" w:rsidP="00ED1C59">
      <w:pPr>
        <w:pStyle w:val="Textebrut"/>
        <w:tabs>
          <w:tab w:val="left" w:pos="1843"/>
        </w:tabs>
        <w:jc w:val="both"/>
        <w:rPr>
          <w:rFonts w:asciiTheme="minorHAnsi" w:hAnsiTheme="minorHAnsi" w:cstheme="minorHAnsi"/>
          <w:bCs/>
          <w:i/>
          <w:iCs/>
          <w:sz w:val="24"/>
          <w:szCs w:val="24"/>
          <w:lang w:val="fr-FR"/>
        </w:rPr>
      </w:pPr>
      <w:r w:rsidRPr="00601075">
        <w:rPr>
          <w:rFonts w:asciiTheme="minorHAnsi" w:hAnsiTheme="minorHAnsi" w:cstheme="minorHAnsi"/>
          <w:bCs/>
          <w:i/>
          <w:iCs/>
          <w:sz w:val="24"/>
          <w:szCs w:val="24"/>
          <w:lang w:val="fr-FR"/>
        </w:rPr>
        <w:t>Aggravation d’un état antérieur</w:t>
      </w:r>
    </w:p>
    <w:p w14:paraId="3EA78D6B" w14:textId="20A0C764" w:rsidR="007D1AD1" w:rsidRPr="00601075" w:rsidRDefault="00601075" w:rsidP="00ED1C59">
      <w:pPr>
        <w:pStyle w:val="Textebrut"/>
        <w:tabs>
          <w:tab w:val="left" w:pos="1843"/>
        </w:tabs>
        <w:jc w:val="both"/>
        <w:rPr>
          <w:rFonts w:asciiTheme="minorHAnsi" w:hAnsiTheme="minorHAnsi" w:cstheme="minorHAnsi"/>
          <w:bCs/>
          <w:i/>
          <w:iCs/>
          <w:sz w:val="24"/>
          <w:szCs w:val="24"/>
          <w:lang w:val="fr-FR"/>
        </w:rPr>
      </w:pPr>
      <w:r w:rsidRPr="00601075">
        <w:rPr>
          <w:rFonts w:asciiTheme="minorHAnsi" w:hAnsiTheme="minorHAnsi" w:cstheme="minorHAnsi"/>
          <w:bCs/>
          <w:i/>
          <w:iCs/>
          <w:sz w:val="24"/>
          <w:szCs w:val="24"/>
          <w:lang w:val="fr-FR"/>
        </w:rPr>
        <w:t>Bilan</w:t>
      </w:r>
      <w:r w:rsidR="007D1AD1" w:rsidRPr="00601075">
        <w:rPr>
          <w:rFonts w:asciiTheme="minorHAnsi" w:hAnsiTheme="minorHAnsi" w:cstheme="minorHAnsi"/>
          <w:bCs/>
          <w:i/>
          <w:iCs/>
          <w:sz w:val="24"/>
          <w:szCs w:val="24"/>
          <w:lang w:val="fr-FR"/>
        </w:rPr>
        <w:t xml:space="preserve"> arthrosique et </w:t>
      </w:r>
      <w:proofErr w:type="spellStart"/>
      <w:r w:rsidR="007D1AD1" w:rsidRPr="00601075">
        <w:rPr>
          <w:rFonts w:asciiTheme="minorHAnsi" w:hAnsiTheme="minorHAnsi" w:cstheme="minorHAnsi"/>
          <w:bCs/>
          <w:i/>
          <w:iCs/>
          <w:sz w:val="24"/>
          <w:szCs w:val="24"/>
          <w:lang w:val="fr-FR"/>
        </w:rPr>
        <w:t>arthroscan</w:t>
      </w:r>
      <w:proofErr w:type="spellEnd"/>
      <w:r w:rsidR="007D1AD1" w:rsidRPr="00601075">
        <w:rPr>
          <w:rFonts w:asciiTheme="minorHAnsi" w:hAnsiTheme="minorHAnsi" w:cstheme="minorHAnsi"/>
          <w:bCs/>
          <w:i/>
          <w:iCs/>
          <w:sz w:val="24"/>
          <w:szCs w:val="24"/>
          <w:lang w:val="fr-FR"/>
        </w:rPr>
        <w:t xml:space="preserve"> le 06/01/2012</w:t>
      </w:r>
    </w:p>
    <w:p w14:paraId="60B31751" w14:textId="39A89C60" w:rsidR="007D1AD1" w:rsidRPr="00601075" w:rsidRDefault="00601075" w:rsidP="00ED1C59">
      <w:pPr>
        <w:pStyle w:val="Textebrut"/>
        <w:tabs>
          <w:tab w:val="left" w:pos="1843"/>
        </w:tabs>
        <w:jc w:val="both"/>
        <w:rPr>
          <w:rFonts w:asciiTheme="minorHAnsi" w:hAnsiTheme="minorHAnsi" w:cstheme="minorHAnsi"/>
          <w:bCs/>
          <w:i/>
          <w:iCs/>
          <w:sz w:val="24"/>
          <w:szCs w:val="24"/>
          <w:lang w:val="fr-FR"/>
        </w:rPr>
      </w:pPr>
      <w:r w:rsidRPr="00601075">
        <w:rPr>
          <w:rFonts w:asciiTheme="minorHAnsi" w:hAnsiTheme="minorHAnsi" w:cstheme="minorHAnsi"/>
          <w:bCs/>
          <w:i/>
          <w:iCs/>
          <w:sz w:val="24"/>
          <w:szCs w:val="24"/>
          <w:lang w:val="fr-FR"/>
        </w:rPr>
        <w:t>Arthroscopie</w:t>
      </w:r>
      <w:r w:rsidR="007D1AD1" w:rsidRPr="00601075">
        <w:rPr>
          <w:rFonts w:asciiTheme="minorHAnsi" w:hAnsiTheme="minorHAnsi" w:cstheme="minorHAnsi"/>
          <w:bCs/>
          <w:i/>
          <w:iCs/>
          <w:sz w:val="24"/>
          <w:szCs w:val="24"/>
          <w:lang w:val="fr-FR"/>
        </w:rPr>
        <w:t xml:space="preserve"> le 17/01 pour blocage persistant et fragment libre intra articulaire</w:t>
      </w:r>
    </w:p>
    <w:p w14:paraId="0DCAA2BD" w14:textId="5DC83B10" w:rsidR="007D1AD1" w:rsidRPr="00601075" w:rsidRDefault="00601075" w:rsidP="00ED1C59">
      <w:pPr>
        <w:pStyle w:val="Textebrut"/>
        <w:tabs>
          <w:tab w:val="left" w:pos="1843"/>
        </w:tabs>
        <w:jc w:val="both"/>
        <w:rPr>
          <w:rFonts w:asciiTheme="minorHAnsi" w:hAnsiTheme="minorHAnsi" w:cstheme="minorHAnsi"/>
          <w:bCs/>
          <w:i/>
          <w:iCs/>
          <w:sz w:val="24"/>
          <w:szCs w:val="24"/>
          <w:lang w:val="fr-FR"/>
        </w:rPr>
      </w:pPr>
      <w:r w:rsidRPr="00601075">
        <w:rPr>
          <w:rFonts w:asciiTheme="minorHAnsi" w:hAnsiTheme="minorHAnsi" w:cstheme="minorHAnsi"/>
          <w:bCs/>
          <w:i/>
          <w:iCs/>
          <w:sz w:val="24"/>
          <w:szCs w:val="24"/>
          <w:lang w:val="fr-FR"/>
        </w:rPr>
        <w:t>Défaut</w:t>
      </w:r>
      <w:r w:rsidR="007D1AD1" w:rsidRPr="00601075">
        <w:rPr>
          <w:rFonts w:asciiTheme="minorHAnsi" w:hAnsiTheme="minorHAnsi" w:cstheme="minorHAnsi"/>
          <w:bCs/>
          <w:i/>
          <w:iCs/>
          <w:sz w:val="24"/>
          <w:szCs w:val="24"/>
          <w:lang w:val="fr-FR"/>
        </w:rPr>
        <w:t xml:space="preserve"> d’extension par contracture musculaire des ischio- jambier en réaction de défense</w:t>
      </w:r>
    </w:p>
    <w:p w14:paraId="74157B6C" w14:textId="2F199F78" w:rsidR="00601075" w:rsidRPr="00601075" w:rsidRDefault="00601075" w:rsidP="00ED1C59">
      <w:pPr>
        <w:pStyle w:val="Textebrut"/>
        <w:tabs>
          <w:tab w:val="left" w:pos="1843"/>
        </w:tabs>
        <w:jc w:val="both"/>
        <w:rPr>
          <w:rFonts w:asciiTheme="minorHAnsi" w:hAnsiTheme="minorHAnsi" w:cstheme="minorHAnsi"/>
          <w:bCs/>
          <w:i/>
          <w:iCs/>
          <w:sz w:val="24"/>
          <w:szCs w:val="24"/>
          <w:lang w:val="fr-FR"/>
        </w:rPr>
      </w:pPr>
      <w:r w:rsidRPr="00601075">
        <w:rPr>
          <w:rFonts w:asciiTheme="minorHAnsi" w:hAnsiTheme="minorHAnsi" w:cstheme="minorHAnsi"/>
          <w:bCs/>
          <w:i/>
          <w:iCs/>
          <w:sz w:val="24"/>
          <w:szCs w:val="24"/>
          <w:u w:val="single"/>
          <w:lang w:val="fr-FR"/>
        </w:rPr>
        <w:t>Subjectivement</w:t>
      </w:r>
      <w:r w:rsidRPr="00601075">
        <w:rPr>
          <w:rFonts w:asciiTheme="minorHAnsi" w:hAnsiTheme="minorHAnsi" w:cstheme="minorHAnsi"/>
          <w:bCs/>
          <w:i/>
          <w:iCs/>
          <w:sz w:val="24"/>
          <w:szCs w:val="24"/>
          <w:lang w:val="fr-FR"/>
        </w:rPr>
        <w:t xml:space="preserve"> : persistance d’instabilité et de gêne dans la vie quotidienne, marche prolongée impossible, boiterie, gonflement </w:t>
      </w:r>
      <w:proofErr w:type="spellStart"/>
      <w:r w:rsidRPr="00601075">
        <w:rPr>
          <w:rFonts w:asciiTheme="minorHAnsi" w:hAnsiTheme="minorHAnsi" w:cstheme="minorHAnsi"/>
          <w:bCs/>
          <w:i/>
          <w:iCs/>
          <w:sz w:val="24"/>
          <w:szCs w:val="24"/>
          <w:lang w:val="fr-FR"/>
        </w:rPr>
        <w:t>vesperaux</w:t>
      </w:r>
      <w:proofErr w:type="spellEnd"/>
      <w:r w:rsidRPr="00601075">
        <w:rPr>
          <w:rFonts w:asciiTheme="minorHAnsi" w:hAnsiTheme="minorHAnsi" w:cstheme="minorHAnsi"/>
          <w:bCs/>
          <w:i/>
          <w:iCs/>
          <w:sz w:val="24"/>
          <w:szCs w:val="24"/>
          <w:lang w:val="fr-FR"/>
        </w:rPr>
        <w:t xml:space="preserve"> quotidien.</w:t>
      </w:r>
    </w:p>
    <w:p w14:paraId="67C598EB" w14:textId="77777777" w:rsidR="00601075" w:rsidRPr="00601075" w:rsidRDefault="00601075" w:rsidP="00ED1C59">
      <w:pPr>
        <w:pStyle w:val="Textebrut"/>
        <w:tabs>
          <w:tab w:val="left" w:pos="1843"/>
        </w:tabs>
        <w:jc w:val="both"/>
        <w:rPr>
          <w:rFonts w:asciiTheme="minorHAnsi" w:hAnsiTheme="minorHAnsi" w:cstheme="minorHAnsi"/>
          <w:bCs/>
          <w:i/>
          <w:iCs/>
          <w:sz w:val="24"/>
          <w:szCs w:val="24"/>
          <w:lang w:val="fr-FR"/>
        </w:rPr>
      </w:pPr>
      <w:r w:rsidRPr="00601075">
        <w:rPr>
          <w:rFonts w:asciiTheme="minorHAnsi" w:hAnsiTheme="minorHAnsi" w:cstheme="minorHAnsi"/>
          <w:bCs/>
          <w:i/>
          <w:iCs/>
          <w:sz w:val="24"/>
          <w:szCs w:val="24"/>
          <w:lang w:val="fr-FR"/>
        </w:rPr>
        <w:t>Consolidation par ETHIAS le 02/05/2012, pratiquement début des séances de kiné de renforcement du quadriceps.</w:t>
      </w:r>
    </w:p>
    <w:p w14:paraId="2B693AA4" w14:textId="214D892D" w:rsidR="007D1AD1" w:rsidRPr="00601075" w:rsidRDefault="00601075" w:rsidP="00ED1C59">
      <w:pPr>
        <w:pStyle w:val="Textebrut"/>
        <w:tabs>
          <w:tab w:val="left" w:pos="1843"/>
        </w:tabs>
        <w:jc w:val="both"/>
        <w:rPr>
          <w:rFonts w:asciiTheme="minorHAnsi" w:hAnsiTheme="minorHAnsi" w:cstheme="minorHAnsi"/>
          <w:bCs/>
          <w:i/>
          <w:iCs/>
          <w:sz w:val="24"/>
          <w:szCs w:val="24"/>
          <w:lang w:val="fr-FR"/>
        </w:rPr>
      </w:pPr>
      <w:r w:rsidRPr="00601075">
        <w:rPr>
          <w:rFonts w:asciiTheme="minorHAnsi" w:hAnsiTheme="minorHAnsi" w:cstheme="minorHAnsi"/>
          <w:bCs/>
          <w:i/>
          <w:iCs/>
          <w:sz w:val="24"/>
          <w:szCs w:val="24"/>
          <w:lang w:val="fr-FR"/>
        </w:rPr>
        <w:t xml:space="preserve">Chirurgicalement, indication relative de transposition de la </w:t>
      </w:r>
      <w:proofErr w:type="spellStart"/>
      <w:r w:rsidRPr="00601075">
        <w:rPr>
          <w:rFonts w:asciiTheme="minorHAnsi" w:hAnsiTheme="minorHAnsi" w:cstheme="minorHAnsi"/>
          <w:bCs/>
          <w:i/>
          <w:iCs/>
          <w:sz w:val="24"/>
          <w:szCs w:val="24"/>
          <w:lang w:val="fr-FR"/>
        </w:rPr>
        <w:t>tuberosite</w:t>
      </w:r>
      <w:proofErr w:type="spellEnd"/>
      <w:r w:rsidRPr="00601075">
        <w:rPr>
          <w:rFonts w:asciiTheme="minorHAnsi" w:hAnsiTheme="minorHAnsi" w:cstheme="minorHAnsi"/>
          <w:bCs/>
          <w:i/>
          <w:iCs/>
          <w:sz w:val="24"/>
          <w:szCs w:val="24"/>
          <w:lang w:val="fr-FR"/>
        </w:rPr>
        <w:t xml:space="preserve"> tibiale sans suite.</w:t>
      </w:r>
    </w:p>
    <w:p w14:paraId="13AD74C2" w14:textId="0064F665" w:rsidR="00601075" w:rsidRPr="00601075" w:rsidRDefault="00601075" w:rsidP="00ED1C59">
      <w:pPr>
        <w:pStyle w:val="Textebrut"/>
        <w:tabs>
          <w:tab w:val="left" w:pos="1843"/>
        </w:tabs>
        <w:jc w:val="both"/>
        <w:rPr>
          <w:rFonts w:asciiTheme="minorHAnsi" w:hAnsiTheme="minorHAnsi" w:cstheme="minorHAnsi"/>
          <w:bCs/>
          <w:i/>
          <w:iCs/>
          <w:sz w:val="24"/>
          <w:szCs w:val="24"/>
          <w:lang w:val="fr-FR"/>
        </w:rPr>
      </w:pPr>
    </w:p>
    <w:p w14:paraId="3C4D31D8" w14:textId="1CB5E58E" w:rsidR="00601075" w:rsidRPr="00601075" w:rsidRDefault="00601075" w:rsidP="00ED1C59">
      <w:pPr>
        <w:pStyle w:val="Textebrut"/>
        <w:tabs>
          <w:tab w:val="left" w:pos="1843"/>
        </w:tabs>
        <w:jc w:val="both"/>
        <w:rPr>
          <w:rFonts w:asciiTheme="minorHAnsi" w:hAnsiTheme="minorHAnsi" w:cstheme="minorHAnsi"/>
          <w:bCs/>
          <w:i/>
          <w:iCs/>
          <w:sz w:val="24"/>
          <w:szCs w:val="24"/>
          <w:lang w:val="fr-FR"/>
        </w:rPr>
      </w:pPr>
      <w:r w:rsidRPr="00601075">
        <w:rPr>
          <w:rFonts w:asciiTheme="minorHAnsi" w:hAnsiTheme="minorHAnsi" w:cstheme="minorHAnsi"/>
          <w:bCs/>
          <w:i/>
          <w:iCs/>
          <w:sz w:val="24"/>
          <w:szCs w:val="24"/>
          <w:u w:val="single"/>
          <w:lang w:val="fr-FR"/>
        </w:rPr>
        <w:t xml:space="preserve">Objectivement </w:t>
      </w:r>
      <w:r w:rsidRPr="00601075">
        <w:rPr>
          <w:rFonts w:asciiTheme="minorHAnsi" w:hAnsiTheme="minorHAnsi" w:cstheme="minorHAnsi"/>
          <w:bCs/>
          <w:i/>
          <w:iCs/>
          <w:sz w:val="24"/>
          <w:szCs w:val="24"/>
          <w:lang w:val="fr-FR"/>
        </w:rPr>
        <w:t>déficit extension à droite de 5° à 10°</w:t>
      </w:r>
    </w:p>
    <w:p w14:paraId="093426D2" w14:textId="0D56242F" w:rsidR="00601075" w:rsidRPr="00601075" w:rsidRDefault="00601075" w:rsidP="00ED1C59">
      <w:pPr>
        <w:pStyle w:val="Textebrut"/>
        <w:tabs>
          <w:tab w:val="left" w:pos="1843"/>
        </w:tabs>
        <w:jc w:val="both"/>
        <w:rPr>
          <w:rFonts w:asciiTheme="minorHAnsi" w:hAnsiTheme="minorHAnsi" w:cstheme="minorHAnsi"/>
          <w:bCs/>
          <w:i/>
          <w:iCs/>
          <w:sz w:val="24"/>
          <w:szCs w:val="24"/>
          <w:lang w:val="fr-FR"/>
        </w:rPr>
      </w:pPr>
      <w:r w:rsidRPr="00601075">
        <w:rPr>
          <w:rFonts w:asciiTheme="minorHAnsi" w:hAnsiTheme="minorHAnsi" w:cstheme="minorHAnsi"/>
          <w:bCs/>
          <w:i/>
          <w:iCs/>
          <w:sz w:val="24"/>
          <w:szCs w:val="24"/>
          <w:lang w:val="fr-FR"/>
        </w:rPr>
        <w:t>Hyperextension à gauche 5°</w:t>
      </w:r>
    </w:p>
    <w:p w14:paraId="5284F79A" w14:textId="1FBF1852" w:rsidR="00601075" w:rsidRDefault="00601075" w:rsidP="00ED1C59">
      <w:pPr>
        <w:pStyle w:val="Textebrut"/>
        <w:tabs>
          <w:tab w:val="left" w:pos="1843"/>
        </w:tabs>
        <w:jc w:val="both"/>
        <w:rPr>
          <w:rFonts w:asciiTheme="minorHAnsi" w:hAnsiTheme="minorHAnsi" w:cstheme="minorHAnsi"/>
          <w:bCs/>
          <w:i/>
          <w:iCs/>
          <w:sz w:val="24"/>
          <w:szCs w:val="24"/>
          <w:lang w:val="fr-FR"/>
        </w:rPr>
      </w:pPr>
      <w:r w:rsidRPr="00601075">
        <w:rPr>
          <w:rFonts w:asciiTheme="minorHAnsi" w:hAnsiTheme="minorHAnsi" w:cstheme="minorHAnsi"/>
          <w:bCs/>
          <w:i/>
          <w:iCs/>
          <w:sz w:val="24"/>
          <w:szCs w:val="24"/>
          <w:lang w:val="fr-FR"/>
        </w:rPr>
        <w:t>Syndrome rotulien</w:t>
      </w:r>
    </w:p>
    <w:p w14:paraId="0114B844" w14:textId="12EDBE34" w:rsidR="00601075" w:rsidRDefault="00601075" w:rsidP="00ED1C59">
      <w:pPr>
        <w:pStyle w:val="Textebrut"/>
        <w:tabs>
          <w:tab w:val="left" w:pos="1843"/>
        </w:tabs>
        <w:jc w:val="both"/>
        <w:rPr>
          <w:rFonts w:asciiTheme="minorHAnsi" w:hAnsiTheme="minorHAnsi" w:cstheme="minorHAnsi"/>
          <w:bCs/>
          <w:i/>
          <w:iCs/>
          <w:sz w:val="24"/>
          <w:szCs w:val="24"/>
          <w:lang w:val="fr-FR"/>
        </w:rPr>
      </w:pPr>
    </w:p>
    <w:p w14:paraId="5176730F" w14:textId="77777777" w:rsidR="005163EE" w:rsidRDefault="00601075" w:rsidP="00ED1C59">
      <w:pPr>
        <w:pStyle w:val="Textebrut"/>
        <w:tabs>
          <w:tab w:val="left" w:pos="1843"/>
        </w:tabs>
        <w:jc w:val="both"/>
        <w:rPr>
          <w:rFonts w:asciiTheme="minorHAnsi" w:hAnsiTheme="minorHAnsi" w:cstheme="minorHAnsi"/>
          <w:bCs/>
          <w:sz w:val="24"/>
          <w:szCs w:val="24"/>
          <w:lang w:val="fr-FR"/>
        </w:rPr>
      </w:pPr>
      <w:r w:rsidRPr="005163EE">
        <w:rPr>
          <w:rFonts w:asciiTheme="minorHAnsi" w:hAnsiTheme="minorHAnsi" w:cstheme="minorHAnsi"/>
          <w:bCs/>
          <w:sz w:val="24"/>
          <w:szCs w:val="24"/>
          <w:lang w:val="fr-FR"/>
        </w:rPr>
        <w:t xml:space="preserve">Ce n’est que très postérieurement à savoir le 8/7/2013 que la compagnie ETHIAS a adressé un courrier à EXPERTCONSULT avec la même mission que celle confiée à l’Institut </w:t>
      </w:r>
      <w:proofErr w:type="spellStart"/>
      <w:r w:rsidRPr="005163EE">
        <w:rPr>
          <w:rFonts w:asciiTheme="minorHAnsi" w:hAnsiTheme="minorHAnsi" w:cstheme="minorHAnsi"/>
          <w:bCs/>
          <w:sz w:val="24"/>
          <w:szCs w:val="24"/>
          <w:lang w:val="fr-FR"/>
        </w:rPr>
        <w:t>Malvoz</w:t>
      </w:r>
      <w:proofErr w:type="spellEnd"/>
      <w:r w:rsidR="005163EE">
        <w:rPr>
          <w:rFonts w:asciiTheme="minorHAnsi" w:hAnsiTheme="minorHAnsi" w:cstheme="minorHAnsi"/>
          <w:bCs/>
          <w:sz w:val="24"/>
          <w:szCs w:val="24"/>
          <w:lang w:val="fr-FR"/>
        </w:rPr>
        <w:t>.</w:t>
      </w:r>
    </w:p>
    <w:p w14:paraId="45A69EE4" w14:textId="043B43B2" w:rsidR="00601075" w:rsidRPr="005163EE" w:rsidRDefault="005163EE" w:rsidP="00ED1C59">
      <w:pPr>
        <w:pStyle w:val="Textebrut"/>
        <w:tabs>
          <w:tab w:val="left" w:pos="1843"/>
        </w:tabs>
        <w:jc w:val="both"/>
        <w:rPr>
          <w:rFonts w:asciiTheme="minorHAnsi" w:hAnsiTheme="minorHAnsi" w:cstheme="minorHAnsi"/>
          <w:bCs/>
          <w:sz w:val="24"/>
          <w:szCs w:val="24"/>
          <w:lang w:val="fr-FR"/>
        </w:rPr>
      </w:pPr>
      <w:r>
        <w:rPr>
          <w:rFonts w:asciiTheme="minorHAnsi" w:hAnsiTheme="minorHAnsi" w:cstheme="minorHAnsi"/>
          <w:bCs/>
          <w:sz w:val="24"/>
          <w:szCs w:val="24"/>
          <w:lang w:val="fr-FR"/>
        </w:rPr>
        <w:t>U</w:t>
      </w:r>
      <w:r w:rsidR="00601075" w:rsidRPr="005163EE">
        <w:rPr>
          <w:rFonts w:asciiTheme="minorHAnsi" w:hAnsiTheme="minorHAnsi" w:cstheme="minorHAnsi"/>
          <w:bCs/>
          <w:sz w:val="24"/>
          <w:szCs w:val="24"/>
          <w:lang w:val="fr-FR"/>
        </w:rPr>
        <w:t xml:space="preserve">ne fiche de consolidation </w:t>
      </w:r>
      <w:r>
        <w:rPr>
          <w:rFonts w:asciiTheme="minorHAnsi" w:hAnsiTheme="minorHAnsi" w:cstheme="minorHAnsi"/>
          <w:bCs/>
          <w:sz w:val="24"/>
          <w:szCs w:val="24"/>
          <w:lang w:val="fr-FR"/>
        </w:rPr>
        <w:t>a été établie</w:t>
      </w:r>
      <w:r w:rsidR="00601075" w:rsidRPr="005163EE">
        <w:rPr>
          <w:rFonts w:asciiTheme="minorHAnsi" w:hAnsiTheme="minorHAnsi" w:cstheme="minorHAnsi"/>
          <w:bCs/>
          <w:sz w:val="24"/>
          <w:szCs w:val="24"/>
          <w:lang w:val="fr-FR"/>
        </w:rPr>
        <w:t xml:space="preserve"> le 9 août 2013 par </w:t>
      </w:r>
      <w:r>
        <w:rPr>
          <w:rFonts w:asciiTheme="minorHAnsi" w:hAnsiTheme="minorHAnsi" w:cstheme="minorHAnsi"/>
          <w:bCs/>
          <w:sz w:val="24"/>
          <w:szCs w:val="24"/>
          <w:lang w:val="fr-FR"/>
        </w:rPr>
        <w:t>EXPERTCONSULT</w:t>
      </w:r>
      <w:r w:rsidR="00601075" w:rsidRPr="005163EE">
        <w:rPr>
          <w:rFonts w:asciiTheme="minorHAnsi" w:hAnsiTheme="minorHAnsi" w:cstheme="minorHAnsi"/>
          <w:bCs/>
          <w:sz w:val="24"/>
          <w:szCs w:val="24"/>
          <w:lang w:val="fr-FR"/>
        </w:rPr>
        <w:t xml:space="preserve"> </w:t>
      </w:r>
      <w:r>
        <w:rPr>
          <w:rFonts w:asciiTheme="minorHAnsi" w:hAnsiTheme="minorHAnsi" w:cstheme="minorHAnsi"/>
          <w:bCs/>
          <w:sz w:val="24"/>
          <w:szCs w:val="24"/>
          <w:lang w:val="fr-FR"/>
        </w:rPr>
        <w:t>qui indique</w:t>
      </w:r>
      <w:r w:rsidR="00601075" w:rsidRPr="005163EE">
        <w:rPr>
          <w:rFonts w:asciiTheme="minorHAnsi" w:hAnsiTheme="minorHAnsi" w:cstheme="minorHAnsi"/>
          <w:bCs/>
          <w:sz w:val="24"/>
          <w:szCs w:val="24"/>
          <w:lang w:val="fr-FR"/>
        </w:rPr>
        <w:t> :</w:t>
      </w:r>
    </w:p>
    <w:p w14:paraId="6243F79E" w14:textId="647F57D1" w:rsidR="00601075" w:rsidRDefault="00601075" w:rsidP="00ED1C59">
      <w:pPr>
        <w:pStyle w:val="Textebrut"/>
        <w:tabs>
          <w:tab w:val="left" w:pos="1843"/>
        </w:tabs>
        <w:jc w:val="both"/>
        <w:rPr>
          <w:rFonts w:asciiTheme="minorHAnsi" w:hAnsiTheme="minorHAnsi" w:cstheme="minorHAnsi"/>
          <w:bCs/>
          <w:i/>
          <w:iCs/>
          <w:sz w:val="24"/>
          <w:szCs w:val="24"/>
          <w:lang w:val="fr-FR"/>
        </w:rPr>
      </w:pPr>
    </w:p>
    <w:p w14:paraId="3E8A365C" w14:textId="6FC77733" w:rsidR="00601075" w:rsidRDefault="00601075" w:rsidP="00ED1C59">
      <w:pPr>
        <w:pStyle w:val="Textebrut"/>
        <w:tabs>
          <w:tab w:val="left" w:pos="1843"/>
        </w:tabs>
        <w:jc w:val="both"/>
        <w:rPr>
          <w:rFonts w:asciiTheme="minorHAnsi" w:hAnsiTheme="minorHAnsi" w:cstheme="minorHAnsi"/>
          <w:bCs/>
          <w:i/>
          <w:iCs/>
          <w:sz w:val="24"/>
          <w:szCs w:val="24"/>
          <w:lang w:val="fr-FR"/>
        </w:rPr>
      </w:pPr>
      <w:r>
        <w:rPr>
          <w:rFonts w:asciiTheme="minorHAnsi" w:hAnsiTheme="minorHAnsi" w:cstheme="minorHAnsi"/>
          <w:bCs/>
          <w:i/>
          <w:iCs/>
          <w:sz w:val="24"/>
          <w:szCs w:val="24"/>
          <w:lang w:val="fr-FR"/>
        </w:rPr>
        <w:t>Je soussigné</w:t>
      </w:r>
      <w:r w:rsidR="005163EE">
        <w:rPr>
          <w:rFonts w:asciiTheme="minorHAnsi" w:hAnsiTheme="minorHAnsi" w:cstheme="minorHAnsi"/>
          <w:bCs/>
          <w:i/>
          <w:iCs/>
          <w:sz w:val="24"/>
          <w:szCs w:val="24"/>
          <w:lang w:val="fr-FR"/>
        </w:rPr>
        <w:t>,</w:t>
      </w:r>
      <w:r>
        <w:rPr>
          <w:rFonts w:asciiTheme="minorHAnsi" w:hAnsiTheme="minorHAnsi" w:cstheme="minorHAnsi"/>
          <w:bCs/>
          <w:i/>
          <w:iCs/>
          <w:sz w:val="24"/>
          <w:szCs w:val="24"/>
          <w:lang w:val="fr-FR"/>
        </w:rPr>
        <w:t xml:space="preserve"> EXPERTCONSULT, Docteur en médecine, à 1000 Bruxelles, rue </w:t>
      </w:r>
      <w:r w:rsidR="005163EE">
        <w:rPr>
          <w:rFonts w:asciiTheme="minorHAnsi" w:hAnsiTheme="minorHAnsi" w:cstheme="minorHAnsi"/>
          <w:bCs/>
          <w:i/>
          <w:iCs/>
          <w:sz w:val="24"/>
          <w:szCs w:val="24"/>
          <w:lang w:val="fr-FR"/>
        </w:rPr>
        <w:t>R</w:t>
      </w:r>
      <w:r>
        <w:rPr>
          <w:rFonts w:asciiTheme="minorHAnsi" w:hAnsiTheme="minorHAnsi" w:cstheme="minorHAnsi"/>
          <w:bCs/>
          <w:i/>
          <w:iCs/>
          <w:sz w:val="24"/>
          <w:szCs w:val="24"/>
          <w:lang w:val="fr-FR"/>
        </w:rPr>
        <w:t xml:space="preserve">oyale 196 </w:t>
      </w:r>
      <w:r w:rsidR="005163EE">
        <w:rPr>
          <w:rFonts w:asciiTheme="minorHAnsi" w:hAnsiTheme="minorHAnsi" w:cstheme="minorHAnsi"/>
          <w:bCs/>
          <w:i/>
          <w:iCs/>
          <w:sz w:val="24"/>
          <w:szCs w:val="24"/>
          <w:lang w:val="fr-FR"/>
        </w:rPr>
        <w:t>ait</w:t>
      </w:r>
      <w:r>
        <w:rPr>
          <w:rFonts w:asciiTheme="minorHAnsi" w:hAnsiTheme="minorHAnsi" w:cstheme="minorHAnsi"/>
          <w:bCs/>
          <w:i/>
          <w:iCs/>
          <w:sz w:val="24"/>
          <w:szCs w:val="24"/>
          <w:lang w:val="fr-FR"/>
        </w:rPr>
        <w:t xml:space="preserve"> examiné le 30 juillet 2013 Madame Vanessa </w:t>
      </w:r>
      <w:r w:rsidR="003C0129">
        <w:rPr>
          <w:rFonts w:asciiTheme="minorHAnsi" w:hAnsiTheme="minorHAnsi" w:cstheme="minorHAnsi"/>
          <w:bCs/>
          <w:i/>
          <w:iCs/>
          <w:sz w:val="24"/>
          <w:szCs w:val="24"/>
          <w:lang w:val="fr-FR"/>
        </w:rPr>
        <w:t>D</w:t>
      </w:r>
      <w:r>
        <w:rPr>
          <w:rFonts w:asciiTheme="minorHAnsi" w:hAnsiTheme="minorHAnsi" w:cstheme="minorHAnsi"/>
          <w:bCs/>
          <w:i/>
          <w:iCs/>
          <w:sz w:val="24"/>
          <w:szCs w:val="24"/>
          <w:lang w:val="fr-FR"/>
        </w:rPr>
        <w:t xml:space="preserve">, victime le 30 décembre 2011 d’un accident du travail et </w:t>
      </w:r>
      <w:r w:rsidR="005163EE">
        <w:rPr>
          <w:rFonts w:asciiTheme="minorHAnsi" w:hAnsiTheme="minorHAnsi" w:cstheme="minorHAnsi"/>
          <w:bCs/>
          <w:i/>
          <w:iCs/>
          <w:sz w:val="24"/>
          <w:szCs w:val="24"/>
          <w:lang w:val="fr-FR"/>
        </w:rPr>
        <w:t>ai</w:t>
      </w:r>
      <w:r>
        <w:rPr>
          <w:rFonts w:asciiTheme="minorHAnsi" w:hAnsiTheme="minorHAnsi" w:cstheme="minorHAnsi"/>
          <w:bCs/>
          <w:i/>
          <w:iCs/>
          <w:sz w:val="24"/>
          <w:szCs w:val="24"/>
          <w:lang w:val="fr-FR"/>
        </w:rPr>
        <w:t>t constaté que les lésions sont stabilisées.</w:t>
      </w:r>
    </w:p>
    <w:p w14:paraId="0458CA97" w14:textId="7305DF53" w:rsidR="00601075" w:rsidRDefault="00601075" w:rsidP="00ED1C59">
      <w:pPr>
        <w:pStyle w:val="Textebrut"/>
        <w:tabs>
          <w:tab w:val="left" w:pos="1843"/>
        </w:tabs>
        <w:jc w:val="both"/>
        <w:rPr>
          <w:rFonts w:asciiTheme="minorHAnsi" w:hAnsiTheme="minorHAnsi" w:cstheme="minorHAnsi"/>
          <w:bCs/>
          <w:i/>
          <w:iCs/>
          <w:sz w:val="24"/>
          <w:szCs w:val="24"/>
          <w:lang w:val="fr-FR"/>
        </w:rPr>
      </w:pPr>
      <w:r>
        <w:rPr>
          <w:rFonts w:asciiTheme="minorHAnsi" w:hAnsiTheme="minorHAnsi" w:cstheme="minorHAnsi"/>
          <w:bCs/>
          <w:i/>
          <w:iCs/>
          <w:sz w:val="24"/>
          <w:szCs w:val="24"/>
          <w:lang w:val="fr-FR"/>
        </w:rPr>
        <w:t>La consolidation</w:t>
      </w:r>
      <w:r w:rsidR="00F44E94">
        <w:rPr>
          <w:rFonts w:asciiTheme="minorHAnsi" w:hAnsiTheme="minorHAnsi" w:cstheme="minorHAnsi"/>
          <w:bCs/>
          <w:i/>
          <w:iCs/>
          <w:sz w:val="24"/>
          <w:szCs w:val="24"/>
          <w:lang w:val="fr-FR"/>
        </w:rPr>
        <w:t xml:space="preserve"> est</w:t>
      </w:r>
      <w:r>
        <w:rPr>
          <w:rFonts w:asciiTheme="minorHAnsi" w:hAnsiTheme="minorHAnsi" w:cstheme="minorHAnsi"/>
          <w:bCs/>
          <w:i/>
          <w:iCs/>
          <w:sz w:val="24"/>
          <w:szCs w:val="24"/>
          <w:lang w:val="fr-FR"/>
        </w:rPr>
        <w:t xml:space="preserve"> fixée au 2 mai 2012 sans incapacité de travail pour retour à l’état antérieur évoluant pour son propre compte.</w:t>
      </w:r>
    </w:p>
    <w:p w14:paraId="05C58DA5" w14:textId="06D7A60C" w:rsidR="00601075" w:rsidRDefault="00601075" w:rsidP="00ED1C59">
      <w:pPr>
        <w:pStyle w:val="Textebrut"/>
        <w:tabs>
          <w:tab w:val="left" w:pos="1843"/>
        </w:tabs>
        <w:jc w:val="both"/>
        <w:rPr>
          <w:rFonts w:asciiTheme="minorHAnsi" w:hAnsiTheme="minorHAnsi" w:cstheme="minorHAnsi"/>
          <w:bCs/>
          <w:i/>
          <w:iCs/>
          <w:sz w:val="24"/>
          <w:szCs w:val="24"/>
          <w:lang w:val="fr-FR"/>
        </w:rPr>
      </w:pPr>
    </w:p>
    <w:p w14:paraId="1A09C931" w14:textId="4FD42D90" w:rsidR="00601075" w:rsidRPr="00997EA5" w:rsidRDefault="00601075" w:rsidP="00ED1C59">
      <w:pPr>
        <w:pStyle w:val="Textebrut"/>
        <w:tabs>
          <w:tab w:val="left" w:pos="1843"/>
        </w:tabs>
        <w:jc w:val="both"/>
        <w:rPr>
          <w:rFonts w:asciiTheme="minorHAnsi" w:hAnsiTheme="minorHAnsi" w:cstheme="minorHAnsi"/>
          <w:bCs/>
          <w:sz w:val="24"/>
          <w:szCs w:val="24"/>
          <w:lang w:val="fr-FR"/>
        </w:rPr>
      </w:pPr>
      <w:r w:rsidRPr="00997EA5">
        <w:rPr>
          <w:rFonts w:asciiTheme="minorHAnsi" w:hAnsiTheme="minorHAnsi" w:cstheme="minorHAnsi"/>
          <w:bCs/>
          <w:sz w:val="24"/>
          <w:szCs w:val="24"/>
          <w:lang w:val="fr-FR"/>
        </w:rPr>
        <w:t xml:space="preserve">De façon étonnante ce rapport de consolidation ne mentionne pas quel médecin aurait examiné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Pr="00997EA5">
        <w:rPr>
          <w:rFonts w:asciiTheme="minorHAnsi" w:hAnsiTheme="minorHAnsi" w:cstheme="minorHAnsi"/>
          <w:bCs/>
          <w:sz w:val="24"/>
          <w:szCs w:val="24"/>
          <w:lang w:val="fr-FR"/>
        </w:rPr>
        <w:t>… puisqu’il est indiqué</w:t>
      </w:r>
      <w:r w:rsidR="00206FDD">
        <w:rPr>
          <w:rFonts w:asciiTheme="minorHAnsi" w:hAnsiTheme="minorHAnsi" w:cstheme="minorHAnsi"/>
          <w:bCs/>
          <w:sz w:val="24"/>
          <w:szCs w:val="24"/>
          <w:lang w:val="fr-FR"/>
        </w:rPr>
        <w:t> : Je soussigné,</w:t>
      </w:r>
      <w:r w:rsidRPr="00997EA5">
        <w:rPr>
          <w:rFonts w:asciiTheme="minorHAnsi" w:hAnsiTheme="minorHAnsi" w:cstheme="minorHAnsi"/>
          <w:bCs/>
          <w:sz w:val="24"/>
          <w:szCs w:val="24"/>
          <w:lang w:val="fr-FR"/>
        </w:rPr>
        <w:t xml:space="preserve"> EXPERTCONSULT, docteur en médecine…</w:t>
      </w:r>
    </w:p>
    <w:p w14:paraId="2D5069CB" w14:textId="00F75DDA" w:rsidR="00601075" w:rsidRPr="00997EA5" w:rsidRDefault="00601075" w:rsidP="00ED1C59">
      <w:pPr>
        <w:pStyle w:val="Textebrut"/>
        <w:tabs>
          <w:tab w:val="left" w:pos="1843"/>
        </w:tabs>
        <w:jc w:val="both"/>
        <w:rPr>
          <w:rFonts w:asciiTheme="minorHAnsi" w:hAnsiTheme="minorHAnsi" w:cstheme="minorHAnsi"/>
          <w:bCs/>
          <w:sz w:val="24"/>
          <w:szCs w:val="24"/>
          <w:lang w:val="fr-FR"/>
        </w:rPr>
      </w:pPr>
    </w:p>
    <w:p w14:paraId="2CD82427" w14:textId="62436964" w:rsidR="00601075" w:rsidRPr="00997EA5" w:rsidRDefault="00601075" w:rsidP="00ED1C59">
      <w:pPr>
        <w:pStyle w:val="Textebrut"/>
        <w:tabs>
          <w:tab w:val="left" w:pos="1843"/>
        </w:tabs>
        <w:jc w:val="both"/>
        <w:rPr>
          <w:rFonts w:asciiTheme="minorHAnsi" w:hAnsiTheme="minorHAnsi" w:cstheme="minorHAnsi"/>
          <w:bCs/>
          <w:sz w:val="24"/>
          <w:szCs w:val="24"/>
          <w:lang w:val="fr-FR"/>
        </w:rPr>
      </w:pPr>
      <w:r w:rsidRPr="00997EA5">
        <w:rPr>
          <w:rFonts w:asciiTheme="minorHAnsi" w:hAnsiTheme="minorHAnsi" w:cstheme="minorHAnsi"/>
          <w:bCs/>
          <w:sz w:val="24"/>
          <w:szCs w:val="24"/>
          <w:lang w:val="fr-FR"/>
        </w:rPr>
        <w:t>Quoi qu’il en soit</w:t>
      </w:r>
      <w:r w:rsidR="00206FDD">
        <w:rPr>
          <w:rFonts w:asciiTheme="minorHAnsi" w:hAnsiTheme="minorHAnsi" w:cstheme="minorHAnsi"/>
          <w:bCs/>
          <w:sz w:val="24"/>
          <w:szCs w:val="24"/>
          <w:lang w:val="fr-FR"/>
        </w:rPr>
        <w:t>,</w:t>
      </w:r>
      <w:r w:rsidRPr="00997EA5">
        <w:rPr>
          <w:rFonts w:asciiTheme="minorHAnsi" w:hAnsiTheme="minorHAnsi" w:cstheme="minorHAnsi"/>
          <w:bCs/>
          <w:sz w:val="24"/>
          <w:szCs w:val="24"/>
          <w:lang w:val="fr-FR"/>
        </w:rPr>
        <w:t xml:space="preserve"> il apparaît clairement qu</w:t>
      </w:r>
      <w:r w:rsidR="00FB3EBC">
        <w:rPr>
          <w:rFonts w:asciiTheme="minorHAnsi" w:hAnsiTheme="minorHAnsi" w:cstheme="minorHAnsi"/>
          <w:bCs/>
          <w:sz w:val="24"/>
          <w:szCs w:val="24"/>
          <w:lang w:val="fr-FR"/>
        </w:rPr>
        <w:t>’</w:t>
      </w:r>
      <w:r w:rsidRPr="00997EA5">
        <w:rPr>
          <w:rFonts w:asciiTheme="minorHAnsi" w:hAnsiTheme="minorHAnsi" w:cstheme="minorHAnsi"/>
          <w:bCs/>
          <w:sz w:val="24"/>
          <w:szCs w:val="24"/>
          <w:lang w:val="fr-FR"/>
        </w:rPr>
        <w:t>antérieurement à cette intervention, c’est bien le MEDEX qui a rendu le premier rapport dès le 13 février 2013.</w:t>
      </w:r>
    </w:p>
    <w:p w14:paraId="35F85663" w14:textId="1316EF01" w:rsidR="00601075" w:rsidRPr="00997EA5" w:rsidRDefault="00601075" w:rsidP="00ED1C59">
      <w:pPr>
        <w:pStyle w:val="Textebrut"/>
        <w:tabs>
          <w:tab w:val="left" w:pos="1843"/>
        </w:tabs>
        <w:jc w:val="both"/>
        <w:rPr>
          <w:rFonts w:asciiTheme="minorHAnsi" w:hAnsiTheme="minorHAnsi" w:cstheme="minorHAnsi"/>
          <w:bCs/>
          <w:sz w:val="24"/>
          <w:szCs w:val="24"/>
          <w:lang w:val="fr-FR"/>
        </w:rPr>
      </w:pPr>
    </w:p>
    <w:p w14:paraId="71DBC770" w14:textId="77E15E89" w:rsidR="00601075" w:rsidRPr="00997EA5" w:rsidRDefault="00601075" w:rsidP="00ED1C59">
      <w:pPr>
        <w:pStyle w:val="Textebrut"/>
        <w:tabs>
          <w:tab w:val="left" w:pos="1843"/>
        </w:tabs>
        <w:jc w:val="both"/>
        <w:rPr>
          <w:rFonts w:asciiTheme="minorHAnsi" w:hAnsiTheme="minorHAnsi" w:cstheme="minorHAnsi"/>
          <w:bCs/>
          <w:sz w:val="24"/>
          <w:szCs w:val="24"/>
          <w:lang w:val="fr-FR"/>
        </w:rPr>
      </w:pPr>
      <w:r w:rsidRPr="00997EA5">
        <w:rPr>
          <w:rFonts w:asciiTheme="minorHAnsi" w:hAnsiTheme="minorHAnsi" w:cstheme="minorHAnsi"/>
          <w:bCs/>
          <w:sz w:val="24"/>
          <w:szCs w:val="24"/>
          <w:lang w:val="fr-FR"/>
        </w:rPr>
        <w:t>Il est effectivement très possible que le MEDEX soit intervenu</w:t>
      </w:r>
      <w:r w:rsidR="00F44E94">
        <w:rPr>
          <w:rFonts w:asciiTheme="minorHAnsi" w:hAnsiTheme="minorHAnsi" w:cstheme="minorHAnsi"/>
          <w:bCs/>
          <w:sz w:val="24"/>
          <w:szCs w:val="24"/>
          <w:lang w:val="fr-FR"/>
        </w:rPr>
        <w:t>,</w:t>
      </w:r>
      <w:r w:rsidRPr="00997EA5">
        <w:rPr>
          <w:rFonts w:asciiTheme="minorHAnsi" w:hAnsiTheme="minorHAnsi" w:cstheme="minorHAnsi"/>
          <w:bCs/>
          <w:sz w:val="24"/>
          <w:szCs w:val="24"/>
          <w:lang w:val="fr-FR"/>
        </w:rPr>
        <w:t xml:space="preserve"> comme le suggère l’expert</w:t>
      </w:r>
      <w:r w:rsidR="00F44E94">
        <w:rPr>
          <w:rFonts w:asciiTheme="minorHAnsi" w:hAnsiTheme="minorHAnsi" w:cstheme="minorHAnsi"/>
          <w:bCs/>
          <w:sz w:val="24"/>
          <w:szCs w:val="24"/>
          <w:lang w:val="fr-FR"/>
        </w:rPr>
        <w:t>,</w:t>
      </w:r>
      <w:r w:rsidRPr="00997EA5">
        <w:rPr>
          <w:rFonts w:asciiTheme="minorHAnsi" w:hAnsiTheme="minorHAnsi" w:cstheme="minorHAnsi"/>
          <w:bCs/>
          <w:sz w:val="24"/>
          <w:szCs w:val="24"/>
          <w:lang w:val="fr-FR"/>
        </w:rPr>
        <w:t xml:space="preserve"> à l’initiative de l’Institut </w:t>
      </w:r>
      <w:proofErr w:type="spellStart"/>
      <w:r w:rsidRPr="00997EA5">
        <w:rPr>
          <w:rFonts w:asciiTheme="minorHAnsi" w:hAnsiTheme="minorHAnsi" w:cstheme="minorHAnsi"/>
          <w:bCs/>
          <w:sz w:val="24"/>
          <w:szCs w:val="24"/>
          <w:lang w:val="fr-FR"/>
        </w:rPr>
        <w:t>Malvoz</w:t>
      </w:r>
      <w:proofErr w:type="spellEnd"/>
      <w:r w:rsidRPr="00997EA5">
        <w:rPr>
          <w:rFonts w:asciiTheme="minorHAnsi" w:hAnsiTheme="minorHAnsi" w:cstheme="minorHAnsi"/>
          <w:bCs/>
          <w:sz w:val="24"/>
          <w:szCs w:val="24"/>
          <w:lang w:val="fr-FR"/>
        </w:rPr>
        <w:t xml:space="preserve"> auquel il avait été demandé de fixer le taux d’incapacité permanente de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00E7292E" w:rsidRPr="00997EA5">
        <w:rPr>
          <w:rFonts w:asciiTheme="minorHAnsi" w:hAnsiTheme="minorHAnsi" w:cstheme="minorHAnsi"/>
          <w:bCs/>
          <w:sz w:val="24"/>
          <w:szCs w:val="24"/>
          <w:lang w:val="fr-FR"/>
        </w:rPr>
        <w:t>.</w:t>
      </w:r>
    </w:p>
    <w:p w14:paraId="07CC5899" w14:textId="456FA280" w:rsidR="00E7292E" w:rsidRPr="00997EA5" w:rsidRDefault="00E7292E" w:rsidP="00ED1C59">
      <w:pPr>
        <w:pStyle w:val="Textebrut"/>
        <w:tabs>
          <w:tab w:val="left" w:pos="1843"/>
        </w:tabs>
        <w:jc w:val="both"/>
        <w:rPr>
          <w:rFonts w:asciiTheme="minorHAnsi" w:hAnsiTheme="minorHAnsi" w:cstheme="minorHAnsi"/>
          <w:bCs/>
          <w:sz w:val="24"/>
          <w:szCs w:val="24"/>
          <w:lang w:val="fr-FR"/>
        </w:rPr>
      </w:pPr>
    </w:p>
    <w:p w14:paraId="5648BB47" w14:textId="24898724" w:rsidR="00E7292E" w:rsidRPr="00997EA5" w:rsidRDefault="00E7292E" w:rsidP="00ED1C59">
      <w:pPr>
        <w:pStyle w:val="Textebrut"/>
        <w:tabs>
          <w:tab w:val="left" w:pos="1843"/>
        </w:tabs>
        <w:jc w:val="both"/>
        <w:rPr>
          <w:rFonts w:asciiTheme="minorHAnsi" w:hAnsiTheme="minorHAnsi" w:cstheme="minorHAnsi"/>
          <w:bCs/>
          <w:sz w:val="24"/>
          <w:szCs w:val="24"/>
          <w:lang w:val="fr-FR"/>
        </w:rPr>
      </w:pPr>
      <w:r w:rsidRPr="00997EA5">
        <w:rPr>
          <w:rFonts w:asciiTheme="minorHAnsi" w:hAnsiTheme="minorHAnsi" w:cstheme="minorHAnsi"/>
          <w:bCs/>
          <w:sz w:val="24"/>
          <w:szCs w:val="24"/>
          <w:lang w:val="fr-FR"/>
        </w:rPr>
        <w:t>On ignore évidemment la raison pour laquelle ETHIAS a mandaté un autre service médical postérieurement, après que les conclusions du MEDEX aient été prises.</w:t>
      </w:r>
    </w:p>
    <w:p w14:paraId="69816530" w14:textId="77777777" w:rsidR="00E7292E" w:rsidRPr="00997EA5" w:rsidRDefault="00E7292E" w:rsidP="00ED1C59">
      <w:pPr>
        <w:pStyle w:val="Textebrut"/>
        <w:tabs>
          <w:tab w:val="left" w:pos="1843"/>
        </w:tabs>
        <w:jc w:val="both"/>
        <w:rPr>
          <w:rFonts w:asciiTheme="minorHAnsi" w:hAnsiTheme="minorHAnsi" w:cstheme="minorHAnsi"/>
          <w:bCs/>
          <w:sz w:val="24"/>
          <w:szCs w:val="24"/>
          <w:lang w:val="fr-FR"/>
        </w:rPr>
      </w:pPr>
    </w:p>
    <w:p w14:paraId="66B9D5D3" w14:textId="237F4543" w:rsidR="00E7292E" w:rsidRPr="00997EA5" w:rsidRDefault="00E7292E" w:rsidP="00ED1C59">
      <w:pPr>
        <w:pStyle w:val="Textebrut"/>
        <w:tabs>
          <w:tab w:val="left" w:pos="1843"/>
        </w:tabs>
        <w:jc w:val="both"/>
        <w:rPr>
          <w:rFonts w:asciiTheme="minorHAnsi" w:hAnsiTheme="minorHAnsi" w:cstheme="minorHAnsi"/>
          <w:bCs/>
          <w:sz w:val="24"/>
          <w:szCs w:val="24"/>
          <w:lang w:val="fr-FR"/>
        </w:rPr>
      </w:pPr>
      <w:r w:rsidRPr="00997EA5">
        <w:rPr>
          <w:rFonts w:asciiTheme="minorHAnsi" w:hAnsiTheme="minorHAnsi" w:cstheme="minorHAnsi"/>
          <w:bCs/>
          <w:sz w:val="24"/>
          <w:szCs w:val="24"/>
          <w:lang w:val="fr-FR"/>
        </w:rPr>
        <w:t>Dans le secteur public, le MEDEX est le service médical qui intervient généralement.</w:t>
      </w:r>
    </w:p>
    <w:p w14:paraId="45BE743F" w14:textId="367E5C98" w:rsidR="00E7292E" w:rsidRPr="00997EA5" w:rsidRDefault="00E7292E" w:rsidP="00ED1C59">
      <w:pPr>
        <w:pStyle w:val="Textebrut"/>
        <w:tabs>
          <w:tab w:val="left" w:pos="1843"/>
        </w:tabs>
        <w:jc w:val="both"/>
        <w:rPr>
          <w:rFonts w:asciiTheme="minorHAnsi" w:hAnsiTheme="minorHAnsi" w:cstheme="minorHAnsi"/>
          <w:bCs/>
          <w:sz w:val="24"/>
          <w:szCs w:val="24"/>
          <w:lang w:val="fr-FR"/>
        </w:rPr>
      </w:pPr>
    </w:p>
    <w:p w14:paraId="28B3068A" w14:textId="1505184F" w:rsidR="00E7292E" w:rsidRDefault="00E7292E" w:rsidP="00ED1C59">
      <w:pPr>
        <w:pStyle w:val="Textebrut"/>
        <w:tabs>
          <w:tab w:val="left" w:pos="1843"/>
        </w:tabs>
        <w:jc w:val="both"/>
        <w:rPr>
          <w:rFonts w:asciiTheme="minorHAnsi" w:hAnsiTheme="minorHAnsi" w:cstheme="minorHAnsi"/>
          <w:bCs/>
          <w:sz w:val="24"/>
          <w:szCs w:val="24"/>
          <w:lang w:val="fr-FR"/>
        </w:rPr>
      </w:pPr>
      <w:r w:rsidRPr="00997EA5">
        <w:rPr>
          <w:rFonts w:asciiTheme="minorHAnsi" w:hAnsiTheme="minorHAnsi" w:cstheme="minorHAnsi"/>
          <w:bCs/>
          <w:sz w:val="24"/>
          <w:szCs w:val="24"/>
          <w:lang w:val="fr-FR"/>
        </w:rPr>
        <w:t xml:space="preserve">Les </w:t>
      </w:r>
      <w:r w:rsidR="00206FDD">
        <w:rPr>
          <w:rFonts w:asciiTheme="minorHAnsi" w:hAnsiTheme="minorHAnsi" w:cstheme="minorHAnsi"/>
          <w:bCs/>
          <w:sz w:val="24"/>
          <w:szCs w:val="24"/>
          <w:lang w:val="fr-FR"/>
        </w:rPr>
        <w:t>D</w:t>
      </w:r>
      <w:r w:rsidRPr="00997EA5">
        <w:rPr>
          <w:rFonts w:asciiTheme="minorHAnsi" w:hAnsiTheme="minorHAnsi" w:cstheme="minorHAnsi"/>
          <w:bCs/>
          <w:sz w:val="24"/>
          <w:szCs w:val="24"/>
          <w:lang w:val="fr-FR"/>
        </w:rPr>
        <w:t xml:space="preserve">octeurs THOREAU et MATAGNE du MEDEX ont effectivement examiné </w:t>
      </w:r>
      <w:r w:rsidR="00447DB5">
        <w:rPr>
          <w:rFonts w:asciiTheme="minorHAnsi" w:hAnsiTheme="minorHAnsi" w:cstheme="minorHAnsi"/>
          <w:bCs/>
          <w:sz w:val="24"/>
          <w:szCs w:val="24"/>
          <w:lang w:val="fr-FR"/>
        </w:rPr>
        <w:t xml:space="preserve">Madame </w:t>
      </w:r>
      <w:r w:rsidR="003C0129">
        <w:rPr>
          <w:rFonts w:asciiTheme="minorHAnsi" w:hAnsiTheme="minorHAnsi" w:cstheme="minorHAnsi"/>
          <w:bCs/>
          <w:sz w:val="24"/>
          <w:szCs w:val="24"/>
          <w:lang w:val="fr-FR"/>
        </w:rPr>
        <w:t>D</w:t>
      </w:r>
      <w:r w:rsidRPr="00997EA5">
        <w:rPr>
          <w:rFonts w:asciiTheme="minorHAnsi" w:hAnsiTheme="minorHAnsi" w:cstheme="minorHAnsi"/>
          <w:bCs/>
          <w:sz w:val="24"/>
          <w:szCs w:val="24"/>
          <w:lang w:val="fr-FR"/>
        </w:rPr>
        <w:t xml:space="preserve"> avant de déposer des conclusions.</w:t>
      </w:r>
    </w:p>
    <w:p w14:paraId="1A860BCC" w14:textId="77777777" w:rsidR="00206FDD" w:rsidRPr="00997EA5" w:rsidRDefault="00206FDD" w:rsidP="00ED1C59">
      <w:pPr>
        <w:pStyle w:val="Textebrut"/>
        <w:tabs>
          <w:tab w:val="left" w:pos="1843"/>
        </w:tabs>
        <w:jc w:val="both"/>
        <w:rPr>
          <w:rFonts w:asciiTheme="minorHAnsi" w:hAnsiTheme="minorHAnsi" w:cstheme="minorHAnsi"/>
          <w:bCs/>
          <w:sz w:val="24"/>
          <w:szCs w:val="24"/>
          <w:lang w:val="fr-FR"/>
        </w:rPr>
      </w:pPr>
    </w:p>
    <w:p w14:paraId="21BD6F85" w14:textId="6173D471" w:rsidR="00206FDD" w:rsidRPr="00997EA5" w:rsidRDefault="00206FDD" w:rsidP="00206FDD">
      <w:pPr>
        <w:pStyle w:val="Textebrut"/>
        <w:tabs>
          <w:tab w:val="left" w:pos="1843"/>
        </w:tabs>
        <w:jc w:val="both"/>
        <w:rPr>
          <w:rFonts w:asciiTheme="minorHAnsi" w:hAnsiTheme="minorHAnsi" w:cstheme="minorHAnsi"/>
          <w:bCs/>
          <w:sz w:val="24"/>
          <w:szCs w:val="24"/>
          <w:lang w:val="fr-FR"/>
        </w:rPr>
      </w:pPr>
      <w:r w:rsidRPr="00997EA5">
        <w:rPr>
          <w:rFonts w:asciiTheme="minorHAnsi" w:hAnsiTheme="minorHAnsi" w:cstheme="minorHAnsi"/>
          <w:bCs/>
          <w:sz w:val="24"/>
          <w:szCs w:val="24"/>
          <w:lang w:val="fr-FR"/>
        </w:rPr>
        <w:t xml:space="preserve">L’intervention du service médical est prévue par l’article </w:t>
      </w:r>
      <w:r>
        <w:rPr>
          <w:rFonts w:asciiTheme="minorHAnsi" w:hAnsiTheme="minorHAnsi" w:cstheme="minorHAnsi"/>
          <w:bCs/>
          <w:sz w:val="24"/>
          <w:szCs w:val="24"/>
          <w:lang w:val="fr-FR"/>
        </w:rPr>
        <w:t>3</w:t>
      </w:r>
      <w:r w:rsidRPr="00997EA5">
        <w:rPr>
          <w:rFonts w:asciiTheme="minorHAnsi" w:hAnsiTheme="minorHAnsi" w:cstheme="minorHAnsi"/>
          <w:bCs/>
          <w:sz w:val="24"/>
          <w:szCs w:val="24"/>
          <w:lang w:val="fr-FR"/>
        </w:rPr>
        <w:t xml:space="preserve"> de l’</w:t>
      </w:r>
      <w:r>
        <w:rPr>
          <w:rFonts w:asciiTheme="minorHAnsi" w:hAnsiTheme="minorHAnsi" w:cstheme="minorHAnsi"/>
          <w:bCs/>
          <w:sz w:val="24"/>
          <w:szCs w:val="24"/>
          <w:lang w:val="fr-FR"/>
        </w:rPr>
        <w:t>A</w:t>
      </w:r>
      <w:r w:rsidRPr="00997EA5">
        <w:rPr>
          <w:rFonts w:asciiTheme="minorHAnsi" w:hAnsiTheme="minorHAnsi" w:cstheme="minorHAnsi"/>
          <w:bCs/>
          <w:sz w:val="24"/>
          <w:szCs w:val="24"/>
          <w:lang w:val="fr-FR"/>
        </w:rPr>
        <w:t xml:space="preserve">rrêté </w:t>
      </w:r>
      <w:r>
        <w:rPr>
          <w:rFonts w:asciiTheme="minorHAnsi" w:hAnsiTheme="minorHAnsi" w:cstheme="minorHAnsi"/>
          <w:bCs/>
          <w:sz w:val="24"/>
          <w:szCs w:val="24"/>
          <w:lang w:val="fr-FR"/>
        </w:rPr>
        <w:t>R</w:t>
      </w:r>
      <w:r w:rsidRPr="00997EA5">
        <w:rPr>
          <w:rFonts w:asciiTheme="minorHAnsi" w:hAnsiTheme="minorHAnsi" w:cstheme="minorHAnsi"/>
          <w:bCs/>
          <w:sz w:val="24"/>
          <w:szCs w:val="24"/>
          <w:lang w:val="fr-FR"/>
        </w:rPr>
        <w:t>oyal du 13 juillet 1970 relative à la réparation, en faveur de certains membres du personnel des services</w:t>
      </w:r>
    </w:p>
    <w:p w14:paraId="099B18E0" w14:textId="33A9EDF0" w:rsidR="00E7292E" w:rsidRDefault="00E7292E" w:rsidP="00ED1C59">
      <w:pPr>
        <w:pStyle w:val="Textebrut"/>
        <w:tabs>
          <w:tab w:val="left" w:pos="1843"/>
        </w:tabs>
        <w:jc w:val="both"/>
        <w:rPr>
          <w:rFonts w:asciiTheme="minorHAnsi" w:hAnsiTheme="minorHAnsi" w:cstheme="minorHAnsi"/>
          <w:bCs/>
          <w:sz w:val="24"/>
          <w:szCs w:val="24"/>
          <w:lang w:val="fr-FR"/>
        </w:rPr>
      </w:pPr>
      <w:r w:rsidRPr="00206FDD">
        <w:rPr>
          <w:rFonts w:asciiTheme="minorHAnsi" w:hAnsiTheme="minorHAnsi" w:cstheme="minorHAnsi"/>
          <w:bCs/>
          <w:sz w:val="24"/>
          <w:szCs w:val="24"/>
          <w:lang w:val="fr-FR"/>
        </w:rPr>
        <w:t>ou établissements publics du secteur local, des dommages résultant des accidents du travail et des accidents survenus sur le chemin du travail.</w:t>
      </w:r>
    </w:p>
    <w:p w14:paraId="1919D679" w14:textId="77777777" w:rsidR="00206FDD" w:rsidRPr="00206FDD" w:rsidRDefault="00206FDD" w:rsidP="00ED1C59">
      <w:pPr>
        <w:pStyle w:val="Textebrut"/>
        <w:tabs>
          <w:tab w:val="left" w:pos="1843"/>
        </w:tabs>
        <w:jc w:val="both"/>
        <w:rPr>
          <w:rFonts w:asciiTheme="minorHAnsi" w:hAnsiTheme="minorHAnsi" w:cstheme="minorHAnsi"/>
          <w:bCs/>
          <w:sz w:val="24"/>
          <w:szCs w:val="24"/>
          <w:lang w:val="fr-FR"/>
        </w:rPr>
      </w:pPr>
    </w:p>
    <w:p w14:paraId="1D5A9B59" w14:textId="75138546" w:rsidR="00997EA5" w:rsidRDefault="00E7292E" w:rsidP="00ED1C59">
      <w:pPr>
        <w:pStyle w:val="Textebrut"/>
        <w:tabs>
          <w:tab w:val="left" w:pos="1843"/>
        </w:tabs>
        <w:jc w:val="both"/>
        <w:rPr>
          <w:rFonts w:asciiTheme="minorHAnsi" w:hAnsiTheme="minorHAnsi" w:cstheme="minorHAnsi"/>
          <w:bCs/>
          <w:sz w:val="24"/>
          <w:szCs w:val="24"/>
          <w:lang w:val="fr-FR"/>
        </w:rPr>
      </w:pPr>
      <w:r w:rsidRPr="00997EA5">
        <w:rPr>
          <w:rFonts w:asciiTheme="minorHAnsi" w:hAnsiTheme="minorHAnsi" w:cstheme="minorHAnsi"/>
          <w:bCs/>
          <w:sz w:val="24"/>
          <w:szCs w:val="24"/>
          <w:lang w:val="fr-FR"/>
        </w:rPr>
        <w:t>Le tribunal estime</w:t>
      </w:r>
      <w:r w:rsidR="00206FDD">
        <w:rPr>
          <w:rFonts w:asciiTheme="minorHAnsi" w:hAnsiTheme="minorHAnsi" w:cstheme="minorHAnsi"/>
          <w:bCs/>
          <w:sz w:val="24"/>
          <w:szCs w:val="24"/>
          <w:lang w:val="fr-FR"/>
        </w:rPr>
        <w:t xml:space="preserve"> que</w:t>
      </w:r>
      <w:r w:rsidR="00997EA5">
        <w:rPr>
          <w:rFonts w:asciiTheme="minorHAnsi" w:hAnsiTheme="minorHAnsi" w:cstheme="minorHAnsi"/>
          <w:bCs/>
          <w:sz w:val="24"/>
          <w:szCs w:val="24"/>
          <w:lang w:val="fr-FR"/>
        </w:rPr>
        <w:t xml:space="preserve"> le MEDEX était le service médica</w:t>
      </w:r>
      <w:r w:rsidR="00F44E94">
        <w:rPr>
          <w:rFonts w:asciiTheme="minorHAnsi" w:hAnsiTheme="minorHAnsi" w:cstheme="minorHAnsi"/>
          <w:bCs/>
          <w:sz w:val="24"/>
          <w:szCs w:val="24"/>
          <w:lang w:val="fr-FR"/>
        </w:rPr>
        <w:t>l</w:t>
      </w:r>
      <w:r w:rsidR="00997EA5">
        <w:rPr>
          <w:rFonts w:asciiTheme="minorHAnsi" w:hAnsiTheme="minorHAnsi" w:cstheme="minorHAnsi"/>
          <w:bCs/>
          <w:sz w:val="24"/>
          <w:szCs w:val="24"/>
          <w:lang w:val="fr-FR"/>
        </w:rPr>
        <w:t xml:space="preserve"> compétent, ce service ét</w:t>
      </w:r>
      <w:r w:rsidR="00206FDD">
        <w:rPr>
          <w:rFonts w:asciiTheme="minorHAnsi" w:hAnsiTheme="minorHAnsi" w:cstheme="minorHAnsi"/>
          <w:bCs/>
          <w:sz w:val="24"/>
          <w:szCs w:val="24"/>
          <w:lang w:val="fr-FR"/>
        </w:rPr>
        <w:t>ant</w:t>
      </w:r>
      <w:r w:rsidR="00997EA5">
        <w:rPr>
          <w:rFonts w:asciiTheme="minorHAnsi" w:hAnsiTheme="minorHAnsi" w:cstheme="minorHAnsi"/>
          <w:bCs/>
          <w:sz w:val="24"/>
          <w:szCs w:val="24"/>
          <w:lang w:val="fr-FR"/>
        </w:rPr>
        <w:t xml:space="preserve"> intervenu avant le service médical EXPERTCONSULT,</w:t>
      </w:r>
      <w:r w:rsidRPr="00997EA5">
        <w:rPr>
          <w:rFonts w:asciiTheme="minorHAnsi" w:hAnsiTheme="minorHAnsi" w:cstheme="minorHAnsi"/>
          <w:bCs/>
          <w:sz w:val="24"/>
          <w:szCs w:val="24"/>
          <w:lang w:val="fr-FR"/>
        </w:rPr>
        <w:t xml:space="preserve"> le rapport du MEDEX doit être pris en considération, rapport qui est antérieur au rapport d’EXPERTCONSULT.</w:t>
      </w:r>
      <w:r w:rsidR="00997EA5" w:rsidRPr="00997EA5">
        <w:rPr>
          <w:rFonts w:asciiTheme="minorHAnsi" w:hAnsiTheme="minorHAnsi" w:cstheme="minorHAnsi"/>
          <w:bCs/>
          <w:sz w:val="24"/>
          <w:szCs w:val="24"/>
          <w:lang w:val="fr-FR"/>
        </w:rPr>
        <w:t xml:space="preserve"> </w:t>
      </w:r>
    </w:p>
    <w:p w14:paraId="24C00742" w14:textId="75E33375" w:rsidR="00E7292E" w:rsidRDefault="00E7292E" w:rsidP="00ED1C59">
      <w:pPr>
        <w:pStyle w:val="Textebrut"/>
        <w:tabs>
          <w:tab w:val="left" w:pos="1843"/>
        </w:tabs>
        <w:jc w:val="both"/>
        <w:rPr>
          <w:rFonts w:asciiTheme="minorHAnsi" w:hAnsiTheme="minorHAnsi" w:cstheme="minorHAnsi"/>
          <w:bCs/>
          <w:i/>
          <w:iCs/>
          <w:sz w:val="24"/>
          <w:szCs w:val="24"/>
          <w:lang w:val="fr-FR"/>
        </w:rPr>
      </w:pPr>
    </w:p>
    <w:p w14:paraId="283A1075" w14:textId="11A654A7" w:rsidR="00E7292E" w:rsidRPr="00997EA5" w:rsidRDefault="00E7292E" w:rsidP="00ED1C59">
      <w:pPr>
        <w:pStyle w:val="Textebrut"/>
        <w:tabs>
          <w:tab w:val="left" w:pos="1843"/>
        </w:tabs>
        <w:jc w:val="both"/>
        <w:rPr>
          <w:rFonts w:asciiTheme="minorHAnsi" w:hAnsiTheme="minorHAnsi" w:cstheme="minorHAnsi"/>
          <w:bCs/>
          <w:sz w:val="24"/>
          <w:szCs w:val="24"/>
          <w:lang w:val="fr-FR"/>
        </w:rPr>
      </w:pPr>
      <w:r w:rsidRPr="00997EA5">
        <w:rPr>
          <w:rFonts w:asciiTheme="minorHAnsi" w:hAnsiTheme="minorHAnsi" w:cstheme="minorHAnsi"/>
          <w:bCs/>
          <w:sz w:val="24"/>
          <w:szCs w:val="24"/>
          <w:lang w:val="fr-FR"/>
        </w:rPr>
        <w:t>Cette cons</w:t>
      </w:r>
      <w:r w:rsidR="00206FDD">
        <w:rPr>
          <w:rFonts w:asciiTheme="minorHAnsi" w:hAnsiTheme="minorHAnsi" w:cstheme="minorHAnsi"/>
          <w:bCs/>
          <w:sz w:val="24"/>
          <w:szCs w:val="24"/>
          <w:lang w:val="fr-FR"/>
        </w:rPr>
        <w:t>tatation</w:t>
      </w:r>
      <w:r w:rsidRPr="00997EA5">
        <w:rPr>
          <w:rFonts w:asciiTheme="minorHAnsi" w:hAnsiTheme="minorHAnsi" w:cstheme="minorHAnsi"/>
          <w:bCs/>
          <w:sz w:val="24"/>
          <w:szCs w:val="24"/>
          <w:lang w:val="fr-FR"/>
        </w:rPr>
        <w:t xml:space="preserve"> ét</w:t>
      </w:r>
      <w:r w:rsidR="00206FDD">
        <w:rPr>
          <w:rFonts w:asciiTheme="minorHAnsi" w:hAnsiTheme="minorHAnsi" w:cstheme="minorHAnsi"/>
          <w:bCs/>
          <w:sz w:val="24"/>
          <w:szCs w:val="24"/>
          <w:lang w:val="fr-FR"/>
        </w:rPr>
        <w:t>ant</w:t>
      </w:r>
      <w:r w:rsidRPr="00997EA5">
        <w:rPr>
          <w:rFonts w:asciiTheme="minorHAnsi" w:hAnsiTheme="minorHAnsi" w:cstheme="minorHAnsi"/>
          <w:bCs/>
          <w:sz w:val="24"/>
          <w:szCs w:val="24"/>
          <w:lang w:val="fr-FR"/>
        </w:rPr>
        <w:t xml:space="preserve"> posée, il y a lieu de se poser la question de savoir si le taux d’incapacité retenu par le MED</w:t>
      </w:r>
      <w:r w:rsidR="00206FDD">
        <w:rPr>
          <w:rFonts w:asciiTheme="minorHAnsi" w:hAnsiTheme="minorHAnsi" w:cstheme="minorHAnsi"/>
          <w:bCs/>
          <w:sz w:val="24"/>
          <w:szCs w:val="24"/>
          <w:lang w:val="fr-FR"/>
        </w:rPr>
        <w:t>E</w:t>
      </w:r>
      <w:r w:rsidRPr="00997EA5">
        <w:rPr>
          <w:rFonts w:asciiTheme="minorHAnsi" w:hAnsiTheme="minorHAnsi" w:cstheme="minorHAnsi"/>
          <w:bCs/>
          <w:sz w:val="24"/>
          <w:szCs w:val="24"/>
          <w:lang w:val="fr-FR"/>
        </w:rPr>
        <w:t xml:space="preserve">X avait une force contraignante et si donc l’expert pouvait aller en </w:t>
      </w:r>
      <w:r w:rsidR="00F44E94">
        <w:rPr>
          <w:rFonts w:asciiTheme="minorHAnsi" w:hAnsiTheme="minorHAnsi" w:cstheme="minorHAnsi"/>
          <w:bCs/>
          <w:sz w:val="24"/>
          <w:szCs w:val="24"/>
          <w:lang w:val="fr-FR"/>
        </w:rPr>
        <w:t>dessous</w:t>
      </w:r>
      <w:r w:rsidRPr="00997EA5">
        <w:rPr>
          <w:rFonts w:asciiTheme="minorHAnsi" w:hAnsiTheme="minorHAnsi" w:cstheme="minorHAnsi"/>
          <w:bCs/>
          <w:sz w:val="24"/>
          <w:szCs w:val="24"/>
          <w:lang w:val="fr-FR"/>
        </w:rPr>
        <w:t xml:space="preserve"> de ce taux.  Dans ce cadre sera examiné la question de savoir si c’est uniquement le taux d’incapacité retenu par le MEDEX qui a une valeur contraignante ou si les différentes constatations du MEDEX</w:t>
      </w:r>
      <w:r w:rsidR="00F44E94">
        <w:rPr>
          <w:rFonts w:asciiTheme="minorHAnsi" w:hAnsiTheme="minorHAnsi" w:cstheme="minorHAnsi"/>
          <w:bCs/>
          <w:sz w:val="24"/>
          <w:szCs w:val="24"/>
          <w:lang w:val="fr-FR"/>
        </w:rPr>
        <w:t>,</w:t>
      </w:r>
      <w:r w:rsidRPr="00997EA5">
        <w:rPr>
          <w:rFonts w:asciiTheme="minorHAnsi" w:hAnsiTheme="minorHAnsi" w:cstheme="minorHAnsi"/>
          <w:bCs/>
          <w:sz w:val="24"/>
          <w:szCs w:val="24"/>
          <w:lang w:val="fr-FR"/>
        </w:rPr>
        <w:t xml:space="preserve"> notamment quant au lien de causalité</w:t>
      </w:r>
      <w:r w:rsidR="00F44E94">
        <w:rPr>
          <w:rFonts w:asciiTheme="minorHAnsi" w:hAnsiTheme="minorHAnsi" w:cstheme="minorHAnsi"/>
          <w:bCs/>
          <w:sz w:val="24"/>
          <w:szCs w:val="24"/>
          <w:lang w:val="fr-FR"/>
        </w:rPr>
        <w:t>,</w:t>
      </w:r>
      <w:r w:rsidR="00997EA5" w:rsidRPr="00997EA5">
        <w:rPr>
          <w:rFonts w:asciiTheme="minorHAnsi" w:hAnsiTheme="minorHAnsi" w:cstheme="minorHAnsi"/>
          <w:bCs/>
          <w:sz w:val="24"/>
          <w:szCs w:val="24"/>
          <w:lang w:val="fr-FR"/>
        </w:rPr>
        <w:t xml:space="preserve"> lient également l’autorité</w:t>
      </w:r>
      <w:r w:rsidR="00206FDD">
        <w:rPr>
          <w:rFonts w:asciiTheme="minorHAnsi" w:hAnsiTheme="minorHAnsi" w:cstheme="minorHAnsi"/>
          <w:bCs/>
          <w:sz w:val="24"/>
          <w:szCs w:val="24"/>
          <w:lang w:val="fr-FR"/>
        </w:rPr>
        <w:t xml:space="preserve"> et les juridictions</w:t>
      </w:r>
      <w:r w:rsidR="00F44E94">
        <w:rPr>
          <w:rFonts w:asciiTheme="minorHAnsi" w:hAnsiTheme="minorHAnsi" w:cstheme="minorHAnsi"/>
          <w:bCs/>
          <w:sz w:val="24"/>
          <w:szCs w:val="24"/>
          <w:lang w:val="fr-FR"/>
        </w:rPr>
        <w:t>.</w:t>
      </w:r>
    </w:p>
    <w:p w14:paraId="03AFB092" w14:textId="061587F7" w:rsidR="00997EA5" w:rsidRPr="00997EA5" w:rsidRDefault="00997EA5" w:rsidP="00ED1C59">
      <w:pPr>
        <w:pStyle w:val="Textebrut"/>
        <w:tabs>
          <w:tab w:val="left" w:pos="1843"/>
        </w:tabs>
        <w:jc w:val="both"/>
        <w:rPr>
          <w:rFonts w:asciiTheme="minorHAnsi" w:hAnsiTheme="minorHAnsi" w:cstheme="minorHAnsi"/>
          <w:bCs/>
          <w:sz w:val="24"/>
          <w:szCs w:val="24"/>
          <w:lang w:val="fr-FR"/>
        </w:rPr>
      </w:pPr>
    </w:p>
    <w:p w14:paraId="030DC7AE" w14:textId="6919A636" w:rsidR="00997EA5" w:rsidRPr="00997EA5" w:rsidRDefault="00997EA5" w:rsidP="00ED1C59">
      <w:pPr>
        <w:pStyle w:val="Textebrut"/>
        <w:tabs>
          <w:tab w:val="left" w:pos="1843"/>
        </w:tabs>
        <w:jc w:val="both"/>
        <w:rPr>
          <w:rFonts w:asciiTheme="minorHAnsi" w:hAnsiTheme="minorHAnsi" w:cstheme="minorHAnsi"/>
          <w:bCs/>
          <w:sz w:val="24"/>
          <w:szCs w:val="24"/>
          <w:lang w:val="fr-FR"/>
        </w:rPr>
      </w:pPr>
      <w:r w:rsidRPr="00997EA5">
        <w:rPr>
          <w:rFonts w:asciiTheme="minorHAnsi" w:hAnsiTheme="minorHAnsi" w:cstheme="minorHAnsi"/>
          <w:bCs/>
          <w:sz w:val="24"/>
          <w:szCs w:val="24"/>
          <w:lang w:val="fr-FR"/>
        </w:rPr>
        <w:t xml:space="preserve">Il n’est pas contesté que la jurisprudence de la Cour de cassation est constante par rapport au fait que la décision du service médical, en ce qu’il fixe le pourcentage de l’incapacité permanente, </w:t>
      </w:r>
      <w:r w:rsidR="00206FDD">
        <w:rPr>
          <w:rFonts w:asciiTheme="minorHAnsi" w:hAnsiTheme="minorHAnsi" w:cstheme="minorHAnsi"/>
          <w:bCs/>
          <w:sz w:val="24"/>
          <w:szCs w:val="24"/>
          <w:lang w:val="fr-FR"/>
        </w:rPr>
        <w:t>lie</w:t>
      </w:r>
      <w:r w:rsidRPr="00997EA5">
        <w:rPr>
          <w:rFonts w:asciiTheme="minorHAnsi" w:hAnsiTheme="minorHAnsi" w:cstheme="minorHAnsi"/>
          <w:bCs/>
          <w:sz w:val="24"/>
          <w:szCs w:val="24"/>
          <w:lang w:val="fr-FR"/>
        </w:rPr>
        <w:t xml:space="preserve"> employeur public et les juridictions du travail qui ne peuvent retenir un pourcentage inférieur ainsi</w:t>
      </w:r>
      <w:r>
        <w:rPr>
          <w:rFonts w:asciiTheme="minorHAnsi" w:hAnsiTheme="minorHAnsi" w:cstheme="minorHAnsi"/>
          <w:bCs/>
          <w:sz w:val="24"/>
          <w:szCs w:val="24"/>
          <w:lang w:val="fr-FR"/>
        </w:rPr>
        <w:t xml:space="preserve"> : </w:t>
      </w:r>
    </w:p>
    <w:p w14:paraId="510CDA95" w14:textId="752A7578" w:rsidR="00E7292E" w:rsidRPr="00997EA5" w:rsidRDefault="00E7292E" w:rsidP="00ED1C59">
      <w:pPr>
        <w:pStyle w:val="Textebrut"/>
        <w:tabs>
          <w:tab w:val="left" w:pos="1843"/>
        </w:tabs>
        <w:jc w:val="both"/>
        <w:rPr>
          <w:rFonts w:asciiTheme="minorHAnsi" w:hAnsiTheme="minorHAnsi" w:cstheme="minorHAnsi"/>
          <w:bCs/>
          <w:sz w:val="24"/>
          <w:szCs w:val="24"/>
          <w:lang w:val="fr-FR"/>
        </w:rPr>
      </w:pPr>
    </w:p>
    <w:p w14:paraId="78E979A5" w14:textId="189F67C9" w:rsidR="00E7292E" w:rsidRPr="00601075" w:rsidRDefault="00E7292E" w:rsidP="00ED1C59">
      <w:pPr>
        <w:pStyle w:val="Textebrut"/>
        <w:tabs>
          <w:tab w:val="left" w:pos="1843"/>
        </w:tabs>
        <w:jc w:val="both"/>
        <w:rPr>
          <w:rFonts w:asciiTheme="minorHAnsi" w:hAnsiTheme="minorHAnsi" w:cstheme="minorHAnsi"/>
          <w:bCs/>
          <w:i/>
          <w:iCs/>
          <w:sz w:val="24"/>
          <w:szCs w:val="24"/>
          <w:lang w:val="fr-FR"/>
        </w:rPr>
      </w:pPr>
    </w:p>
    <w:p w14:paraId="0E5CAECF" w14:textId="659CFC00" w:rsidR="00997EA5" w:rsidRPr="00206FDD" w:rsidRDefault="00F44E94" w:rsidP="00997EA5">
      <w:pPr>
        <w:widowControl/>
        <w:numPr>
          <w:ilvl w:val="0"/>
          <w:numId w:val="8"/>
        </w:numPr>
        <w:suppressAutoHyphens w:val="0"/>
        <w:autoSpaceDN/>
        <w:ind w:left="709"/>
        <w:jc w:val="both"/>
        <w:textAlignment w:val="auto"/>
        <w:rPr>
          <w:rFonts w:asciiTheme="minorHAnsi" w:hAnsiTheme="minorHAnsi" w:cstheme="minorHAnsi"/>
          <w:i/>
          <w:lang w:val="fr-FR" w:eastAsia="fr-FR"/>
        </w:rPr>
      </w:pPr>
      <w:r w:rsidRPr="00206FDD">
        <w:rPr>
          <w:rFonts w:asciiTheme="minorHAnsi" w:hAnsiTheme="minorHAnsi" w:cstheme="minorHAnsi"/>
          <w:i/>
          <w:lang w:val="fr-FR" w:eastAsia="fr-FR"/>
        </w:rPr>
        <w:t>Dans</w:t>
      </w:r>
      <w:r w:rsidR="00997EA5" w:rsidRPr="00206FDD">
        <w:rPr>
          <w:rFonts w:asciiTheme="minorHAnsi" w:hAnsiTheme="minorHAnsi" w:cstheme="minorHAnsi"/>
          <w:i/>
          <w:lang w:val="fr-FR" w:eastAsia="fr-FR"/>
        </w:rPr>
        <w:t xml:space="preserve"> son arrêt du 19 décembre 1994, la Cour de cassation (Cass., 19 déc. 1994, </w:t>
      </w:r>
      <w:proofErr w:type="spellStart"/>
      <w:r w:rsidR="00997EA5" w:rsidRPr="00206FDD">
        <w:rPr>
          <w:rFonts w:asciiTheme="minorHAnsi" w:hAnsiTheme="minorHAnsi" w:cstheme="minorHAnsi"/>
          <w:i/>
          <w:lang w:val="fr-FR" w:eastAsia="fr-FR"/>
        </w:rPr>
        <w:t>Chron</w:t>
      </w:r>
      <w:proofErr w:type="spellEnd"/>
      <w:r w:rsidR="00997EA5" w:rsidRPr="00206FDD">
        <w:rPr>
          <w:rFonts w:asciiTheme="minorHAnsi" w:hAnsiTheme="minorHAnsi" w:cstheme="minorHAnsi"/>
          <w:i/>
          <w:lang w:val="fr-FR" w:eastAsia="fr-FR"/>
        </w:rPr>
        <w:t>. D. S., 1995, p. 370 et s.), après avoir rappelé les articles 8 et 9 de l’arrêté royal du 13 juillet 1970, casse un arrêt de la Cour du travail de Bruxelles ayant considéré que la décision du service médical relative à l’incapacité temporaire de travail et à la date de consolidation liait l’employeur public ; la Cour de cassation souligne que la décision du service médical n’est obligatoire que dans la mesure où ce service fixe un pourcentage d’invalidité permanente, lequel pourcentage peut être augmenté par l’autorité administrative compétente ;</w:t>
      </w:r>
    </w:p>
    <w:p w14:paraId="14AB059B" w14:textId="77777777" w:rsidR="00997EA5" w:rsidRPr="00206FDD" w:rsidRDefault="00997EA5" w:rsidP="00997EA5">
      <w:pPr>
        <w:jc w:val="both"/>
        <w:rPr>
          <w:rFonts w:asciiTheme="minorHAnsi" w:hAnsiTheme="minorHAnsi" w:cstheme="minorHAnsi"/>
          <w:i/>
          <w:highlight w:val="yellow"/>
          <w:lang w:val="fr-FR" w:eastAsia="fr-FR"/>
        </w:rPr>
      </w:pPr>
    </w:p>
    <w:p w14:paraId="0002CCF3" w14:textId="09D1957B" w:rsidR="00997EA5" w:rsidRPr="00206FDD" w:rsidRDefault="00F44E94" w:rsidP="00997EA5">
      <w:pPr>
        <w:widowControl/>
        <w:numPr>
          <w:ilvl w:val="0"/>
          <w:numId w:val="8"/>
        </w:numPr>
        <w:suppressAutoHyphens w:val="0"/>
        <w:autoSpaceDN/>
        <w:jc w:val="both"/>
        <w:textAlignment w:val="auto"/>
        <w:rPr>
          <w:rFonts w:asciiTheme="minorHAnsi" w:hAnsiTheme="minorHAnsi" w:cstheme="minorHAnsi"/>
          <w:i/>
          <w:lang w:val="fr-FR" w:eastAsia="fr-FR"/>
        </w:rPr>
      </w:pPr>
      <w:r w:rsidRPr="00206FDD">
        <w:rPr>
          <w:rFonts w:asciiTheme="minorHAnsi" w:hAnsiTheme="minorHAnsi" w:cstheme="minorHAnsi"/>
          <w:i/>
          <w:lang w:val="fr-FR" w:eastAsia="fr-FR"/>
        </w:rPr>
        <w:t>Dans</w:t>
      </w:r>
      <w:r w:rsidR="00997EA5" w:rsidRPr="00206FDD">
        <w:rPr>
          <w:rFonts w:asciiTheme="minorHAnsi" w:hAnsiTheme="minorHAnsi" w:cstheme="minorHAnsi"/>
          <w:i/>
          <w:lang w:val="fr-FR" w:eastAsia="fr-FR"/>
        </w:rPr>
        <w:t xml:space="preserve"> son arrêt du 07 février 2000, la Cour de cassation (Cass., 07 février 2000, R.G. S.990122N, consultable sur le site </w:t>
      </w:r>
      <w:proofErr w:type="spellStart"/>
      <w:r w:rsidR="00997EA5" w:rsidRPr="00206FDD">
        <w:rPr>
          <w:rFonts w:asciiTheme="minorHAnsi" w:hAnsiTheme="minorHAnsi" w:cstheme="minorHAnsi"/>
          <w:i/>
          <w:lang w:val="fr-FR" w:eastAsia="fr-FR"/>
        </w:rPr>
        <w:t>juportal</w:t>
      </w:r>
      <w:proofErr w:type="spellEnd"/>
      <w:r w:rsidR="00997EA5" w:rsidRPr="00206FDD">
        <w:rPr>
          <w:rFonts w:asciiTheme="minorHAnsi" w:hAnsiTheme="minorHAnsi" w:cstheme="minorHAnsi"/>
          <w:i/>
          <w:lang w:val="fr-FR" w:eastAsia="fr-FR"/>
        </w:rPr>
        <w:t>), confirme :</w:t>
      </w:r>
    </w:p>
    <w:p w14:paraId="067D3E41" w14:textId="77777777" w:rsidR="00997EA5" w:rsidRPr="00206FDD" w:rsidRDefault="00997EA5" w:rsidP="00997EA5">
      <w:pPr>
        <w:jc w:val="both"/>
        <w:rPr>
          <w:rFonts w:asciiTheme="minorHAnsi" w:hAnsiTheme="minorHAnsi" w:cstheme="minorHAnsi"/>
          <w:lang w:val="fr-FR" w:eastAsia="fr-FR"/>
        </w:rPr>
      </w:pPr>
    </w:p>
    <w:p w14:paraId="0DC9EB08" w14:textId="77777777" w:rsidR="00997EA5" w:rsidRPr="00206FDD" w:rsidRDefault="00997EA5" w:rsidP="00997EA5">
      <w:pPr>
        <w:ind w:left="709"/>
        <w:jc w:val="both"/>
        <w:rPr>
          <w:rFonts w:asciiTheme="minorHAnsi" w:hAnsiTheme="minorHAnsi" w:cstheme="minorHAnsi"/>
          <w:i/>
          <w:lang w:val="fr-FR" w:eastAsia="fr-FR"/>
        </w:rPr>
      </w:pPr>
      <w:r w:rsidRPr="00206FDD">
        <w:rPr>
          <w:rFonts w:asciiTheme="minorHAnsi" w:hAnsiTheme="minorHAnsi" w:cstheme="minorHAnsi"/>
          <w:i/>
          <w:lang w:val="fr-FR" w:eastAsia="fr-FR"/>
        </w:rPr>
        <w:t xml:space="preserve">« (…) Qu’il résulte des dispositions de l’arrêté royal du 13 juillet 1970 que la décision du service médical lie l’autorité dans la mesure où ce service reconnaît une invalidité permanente et que cette autorité ne peut qu’augmenter le pourcentage fixé ; </w:t>
      </w:r>
    </w:p>
    <w:p w14:paraId="164A41AF" w14:textId="77777777" w:rsidR="00997EA5" w:rsidRPr="00206FDD" w:rsidRDefault="00997EA5" w:rsidP="00997EA5">
      <w:pPr>
        <w:ind w:left="709"/>
        <w:jc w:val="both"/>
        <w:rPr>
          <w:rFonts w:asciiTheme="minorHAnsi" w:hAnsiTheme="minorHAnsi" w:cstheme="minorHAnsi"/>
          <w:i/>
          <w:lang w:val="fr-FR" w:eastAsia="fr-FR"/>
        </w:rPr>
      </w:pPr>
    </w:p>
    <w:p w14:paraId="39C6A4A6" w14:textId="77777777" w:rsidR="00997EA5" w:rsidRPr="00206FDD" w:rsidRDefault="00997EA5" w:rsidP="00997EA5">
      <w:pPr>
        <w:ind w:left="709"/>
        <w:jc w:val="both"/>
        <w:rPr>
          <w:rFonts w:asciiTheme="minorHAnsi" w:hAnsiTheme="minorHAnsi" w:cstheme="minorHAnsi"/>
          <w:i/>
          <w:lang w:val="fr-FR" w:eastAsia="fr-FR"/>
        </w:rPr>
      </w:pPr>
      <w:r w:rsidRPr="00206FDD">
        <w:rPr>
          <w:rFonts w:asciiTheme="minorHAnsi" w:hAnsiTheme="minorHAnsi" w:cstheme="minorHAnsi"/>
          <w:i/>
          <w:lang w:val="fr-FR" w:eastAsia="fr-FR"/>
        </w:rPr>
        <w:t xml:space="preserve">Qu’il s’ensuit que le tribunal qui statue sur une contestation concernant le pourcentage d’invalidité permanente d’un membre du personnel d’une commune (…) ne peut accorder un pourcentage d’invalidité inférieur [à] celui qui a été reconnu par le service médical précité (…) » </w:t>
      </w:r>
    </w:p>
    <w:p w14:paraId="14A7587D" w14:textId="77777777" w:rsidR="00997EA5" w:rsidRPr="00206FDD" w:rsidRDefault="00997EA5" w:rsidP="00997EA5">
      <w:pPr>
        <w:ind w:left="720"/>
        <w:jc w:val="both"/>
        <w:rPr>
          <w:rFonts w:asciiTheme="minorHAnsi" w:hAnsiTheme="minorHAnsi" w:cstheme="minorHAnsi"/>
          <w:i/>
          <w:lang w:val="fr-FR" w:eastAsia="fr-FR"/>
        </w:rPr>
      </w:pPr>
    </w:p>
    <w:p w14:paraId="72FA6143" w14:textId="7F6FDEF1" w:rsidR="00997EA5" w:rsidRPr="00206FDD" w:rsidRDefault="00D90C91" w:rsidP="00997EA5">
      <w:pPr>
        <w:widowControl/>
        <w:numPr>
          <w:ilvl w:val="0"/>
          <w:numId w:val="8"/>
        </w:numPr>
        <w:suppressAutoHyphens w:val="0"/>
        <w:autoSpaceDN/>
        <w:jc w:val="both"/>
        <w:textAlignment w:val="auto"/>
        <w:rPr>
          <w:rFonts w:asciiTheme="minorHAnsi" w:hAnsiTheme="minorHAnsi" w:cstheme="minorHAnsi"/>
          <w:i/>
          <w:lang w:val="fr-FR" w:eastAsia="fr-FR"/>
        </w:rPr>
      </w:pPr>
      <w:r w:rsidRPr="00206FDD">
        <w:rPr>
          <w:rFonts w:asciiTheme="minorHAnsi" w:hAnsiTheme="minorHAnsi" w:cstheme="minorHAnsi"/>
          <w:i/>
          <w:lang w:val="fr-FR" w:eastAsia="fr-FR"/>
        </w:rPr>
        <w:lastRenderedPageBreak/>
        <w:t>Dans</w:t>
      </w:r>
      <w:r w:rsidR="00997EA5" w:rsidRPr="00206FDD">
        <w:rPr>
          <w:rFonts w:asciiTheme="minorHAnsi" w:hAnsiTheme="minorHAnsi" w:cstheme="minorHAnsi"/>
          <w:i/>
          <w:lang w:val="fr-FR" w:eastAsia="fr-FR"/>
        </w:rPr>
        <w:t xml:space="preserve"> son arrêt du 07 mars 2016, la Cour de cassation (Cass., 07 mars 2016, R.G. S.15.0053.N, consultable sur le site </w:t>
      </w:r>
      <w:proofErr w:type="spellStart"/>
      <w:r w:rsidR="00997EA5" w:rsidRPr="00206FDD">
        <w:rPr>
          <w:rFonts w:asciiTheme="minorHAnsi" w:hAnsiTheme="minorHAnsi" w:cstheme="minorHAnsi"/>
          <w:i/>
          <w:lang w:val="fr-FR" w:eastAsia="fr-FR"/>
        </w:rPr>
        <w:t>juportal</w:t>
      </w:r>
      <w:proofErr w:type="spellEnd"/>
      <w:r w:rsidR="00997EA5" w:rsidRPr="00206FDD">
        <w:rPr>
          <w:rFonts w:asciiTheme="minorHAnsi" w:hAnsiTheme="minorHAnsi" w:cstheme="minorHAnsi"/>
          <w:i/>
          <w:lang w:val="fr-FR" w:eastAsia="fr-FR"/>
        </w:rPr>
        <w:t>), confirme, après avoir rappelé les termes des articles 8 et 9 de l’arrêté royal du 13 juillet 1970, que :</w:t>
      </w:r>
    </w:p>
    <w:p w14:paraId="0A724DD7" w14:textId="77777777" w:rsidR="00997EA5" w:rsidRPr="00206FDD" w:rsidRDefault="00997EA5" w:rsidP="00997EA5">
      <w:pPr>
        <w:ind w:left="720"/>
        <w:jc w:val="both"/>
        <w:rPr>
          <w:rFonts w:asciiTheme="minorHAnsi" w:hAnsiTheme="minorHAnsi" w:cstheme="minorHAnsi"/>
          <w:i/>
          <w:lang w:val="fr-FR" w:eastAsia="fr-FR"/>
        </w:rPr>
      </w:pPr>
    </w:p>
    <w:p w14:paraId="5E20E661" w14:textId="77777777" w:rsidR="00997EA5" w:rsidRPr="00206FDD" w:rsidRDefault="00997EA5" w:rsidP="00997EA5">
      <w:pPr>
        <w:ind w:left="720"/>
        <w:jc w:val="both"/>
        <w:rPr>
          <w:rFonts w:asciiTheme="minorHAnsi" w:hAnsiTheme="minorHAnsi" w:cstheme="minorHAnsi"/>
          <w:i/>
          <w:lang w:val="fr-FR" w:eastAsia="fr-FR"/>
        </w:rPr>
      </w:pPr>
      <w:r w:rsidRPr="00206FDD">
        <w:rPr>
          <w:rFonts w:asciiTheme="minorHAnsi" w:hAnsiTheme="minorHAnsi" w:cstheme="minorHAnsi"/>
          <w:i/>
          <w:lang w:val="fr-FR" w:eastAsia="fr-FR"/>
        </w:rPr>
        <w:t xml:space="preserve">« (…) 4. Il résulte de ces dispositions qu’il ne peut être question d’une décision obligatoire du service médical que lorsque celui-ci fixe un pourcentage d’invalidité permanente, ce pourcentage pouvant être augmenté par l’autorité. </w:t>
      </w:r>
    </w:p>
    <w:p w14:paraId="2F32F6B3" w14:textId="77777777" w:rsidR="00997EA5" w:rsidRPr="00206FDD" w:rsidRDefault="00997EA5" w:rsidP="00997EA5">
      <w:pPr>
        <w:ind w:left="720"/>
        <w:jc w:val="both"/>
        <w:rPr>
          <w:rFonts w:asciiTheme="minorHAnsi" w:hAnsiTheme="minorHAnsi" w:cstheme="minorHAnsi"/>
          <w:i/>
          <w:lang w:val="fr-FR" w:eastAsia="fr-FR"/>
        </w:rPr>
      </w:pPr>
    </w:p>
    <w:p w14:paraId="512EF43D" w14:textId="428231E9" w:rsidR="00997EA5" w:rsidRPr="00206FDD" w:rsidRDefault="00997EA5" w:rsidP="00997EA5">
      <w:pPr>
        <w:ind w:left="720"/>
        <w:jc w:val="both"/>
        <w:rPr>
          <w:rFonts w:asciiTheme="minorHAnsi" w:hAnsiTheme="minorHAnsi" w:cstheme="minorHAnsi"/>
          <w:i/>
          <w:lang w:val="fr-FR" w:eastAsia="fr-FR"/>
        </w:rPr>
      </w:pPr>
      <w:r w:rsidRPr="00206FDD">
        <w:rPr>
          <w:rFonts w:asciiTheme="minorHAnsi" w:hAnsiTheme="minorHAnsi" w:cstheme="minorHAnsi"/>
          <w:i/>
          <w:lang w:val="fr-FR" w:eastAsia="fr-FR"/>
        </w:rPr>
        <w:t xml:space="preserve">5. L’arrêt, qui considère que la décision du service médical sur la date de la consolidation est obligatoire pour </w:t>
      </w:r>
      <w:r w:rsidR="00447DB5" w:rsidRPr="00206FDD">
        <w:rPr>
          <w:rFonts w:asciiTheme="minorHAnsi" w:hAnsiTheme="minorHAnsi" w:cstheme="minorHAnsi"/>
          <w:i/>
          <w:lang w:val="fr-FR" w:eastAsia="fr-FR"/>
        </w:rPr>
        <w:t xml:space="preserve">Madame </w:t>
      </w:r>
      <w:r w:rsidR="003C0129">
        <w:rPr>
          <w:rFonts w:asciiTheme="minorHAnsi" w:hAnsiTheme="minorHAnsi" w:cstheme="minorHAnsi"/>
          <w:i/>
          <w:lang w:val="fr-FR" w:eastAsia="fr-FR"/>
        </w:rPr>
        <w:t>D</w:t>
      </w:r>
      <w:r w:rsidRPr="00206FDD">
        <w:rPr>
          <w:rFonts w:asciiTheme="minorHAnsi" w:hAnsiTheme="minorHAnsi" w:cstheme="minorHAnsi"/>
          <w:i/>
          <w:lang w:val="fr-FR" w:eastAsia="fr-FR"/>
        </w:rPr>
        <w:t>, viole les dispositions légales indiquées au moyen. »</w:t>
      </w:r>
    </w:p>
    <w:p w14:paraId="115C9F61" w14:textId="77777777" w:rsidR="00997EA5" w:rsidRPr="00206FDD" w:rsidRDefault="00997EA5" w:rsidP="00997EA5">
      <w:pPr>
        <w:ind w:left="720"/>
        <w:jc w:val="both"/>
        <w:rPr>
          <w:rFonts w:asciiTheme="minorHAnsi" w:hAnsiTheme="minorHAnsi" w:cstheme="minorHAnsi"/>
          <w:i/>
          <w:lang w:val="fr-FR" w:eastAsia="fr-FR"/>
        </w:rPr>
      </w:pPr>
    </w:p>
    <w:p w14:paraId="295B1033" w14:textId="0B221649" w:rsidR="00997EA5" w:rsidRPr="00206FDD" w:rsidRDefault="00D90C91" w:rsidP="00997EA5">
      <w:pPr>
        <w:widowControl/>
        <w:numPr>
          <w:ilvl w:val="0"/>
          <w:numId w:val="8"/>
        </w:numPr>
        <w:suppressAutoHyphens w:val="0"/>
        <w:autoSpaceDN/>
        <w:jc w:val="both"/>
        <w:textAlignment w:val="auto"/>
        <w:rPr>
          <w:rFonts w:asciiTheme="minorHAnsi" w:hAnsiTheme="minorHAnsi" w:cstheme="minorHAnsi"/>
          <w:i/>
          <w:lang w:val="fr-FR" w:eastAsia="fr-FR"/>
        </w:rPr>
      </w:pPr>
      <w:r w:rsidRPr="00206FDD">
        <w:rPr>
          <w:rFonts w:asciiTheme="minorHAnsi" w:hAnsiTheme="minorHAnsi" w:cstheme="minorHAnsi"/>
          <w:i/>
          <w:lang w:val="fr-FR" w:eastAsia="fr-FR"/>
        </w:rPr>
        <w:t>Dans</w:t>
      </w:r>
      <w:r w:rsidR="00997EA5" w:rsidRPr="00206FDD">
        <w:rPr>
          <w:rFonts w:asciiTheme="minorHAnsi" w:hAnsiTheme="minorHAnsi" w:cstheme="minorHAnsi"/>
          <w:i/>
          <w:lang w:val="fr-FR" w:eastAsia="fr-FR"/>
        </w:rPr>
        <w:t xml:space="preserve"> son arrêt du 18 novembre 2019, la Cour de cassation (Cass., 18 nov. 2019, R.G. S.19.0009.F, pièce 8 de la partie intimée), confirme une nouvelle fois, après avoir rappelé les termes des articles 8 et 9 de l’arrêté royal du 13 juillet 1970, que</w:t>
      </w:r>
      <w:r w:rsidR="00206FDD">
        <w:rPr>
          <w:rFonts w:asciiTheme="minorHAnsi" w:hAnsiTheme="minorHAnsi" w:cstheme="minorHAnsi"/>
          <w:i/>
          <w:lang w:val="fr-FR" w:eastAsia="fr-FR"/>
        </w:rPr>
        <w:t> :</w:t>
      </w:r>
    </w:p>
    <w:p w14:paraId="258944B4" w14:textId="77777777" w:rsidR="00997EA5" w:rsidRPr="00206FDD" w:rsidRDefault="00997EA5" w:rsidP="00997EA5">
      <w:pPr>
        <w:ind w:left="720"/>
        <w:jc w:val="both"/>
        <w:rPr>
          <w:rFonts w:asciiTheme="minorHAnsi" w:hAnsiTheme="minorHAnsi" w:cstheme="minorHAnsi"/>
          <w:i/>
          <w:lang w:val="fr-FR" w:eastAsia="fr-FR"/>
        </w:rPr>
      </w:pPr>
    </w:p>
    <w:p w14:paraId="1E1D6E81" w14:textId="77777777" w:rsidR="00997EA5" w:rsidRPr="00206FDD" w:rsidRDefault="00997EA5" w:rsidP="00997EA5">
      <w:pPr>
        <w:ind w:left="720"/>
        <w:jc w:val="both"/>
        <w:rPr>
          <w:rFonts w:asciiTheme="minorHAnsi" w:hAnsiTheme="minorHAnsi" w:cstheme="minorHAnsi"/>
          <w:i/>
          <w:lang w:val="fr-FR" w:eastAsia="fr-FR"/>
        </w:rPr>
      </w:pPr>
      <w:r w:rsidRPr="00206FDD">
        <w:rPr>
          <w:rFonts w:asciiTheme="minorHAnsi" w:hAnsiTheme="minorHAnsi" w:cstheme="minorHAnsi"/>
          <w:i/>
          <w:lang w:val="fr-FR" w:eastAsia="fr-FR"/>
        </w:rPr>
        <w:t xml:space="preserve">« (…) Il suit de ces dispositions que le service médical ne rend de décision obligatoire pour l’autorité que dans la mesure où il fixe le pourcentage minimum de l’invalidité permanente. </w:t>
      </w:r>
    </w:p>
    <w:p w14:paraId="6A251EC8" w14:textId="77777777" w:rsidR="00997EA5" w:rsidRPr="00206FDD" w:rsidRDefault="00997EA5" w:rsidP="00997EA5">
      <w:pPr>
        <w:ind w:left="720"/>
        <w:jc w:val="both"/>
        <w:rPr>
          <w:rFonts w:asciiTheme="minorHAnsi" w:hAnsiTheme="minorHAnsi" w:cstheme="minorHAnsi"/>
          <w:i/>
          <w:lang w:val="fr-FR" w:eastAsia="fr-FR"/>
        </w:rPr>
      </w:pPr>
    </w:p>
    <w:p w14:paraId="2D1AC948" w14:textId="57271B91" w:rsidR="00997EA5" w:rsidRPr="00206FDD" w:rsidRDefault="00997EA5" w:rsidP="00997EA5">
      <w:pPr>
        <w:ind w:left="720"/>
        <w:jc w:val="both"/>
        <w:rPr>
          <w:rFonts w:asciiTheme="minorHAnsi" w:hAnsiTheme="minorHAnsi" w:cstheme="minorHAnsi"/>
          <w:i/>
          <w:lang w:val="fr-FR" w:eastAsia="fr-FR"/>
        </w:rPr>
      </w:pPr>
      <w:r w:rsidRPr="00206FDD">
        <w:rPr>
          <w:rFonts w:asciiTheme="minorHAnsi" w:hAnsiTheme="minorHAnsi" w:cstheme="minorHAnsi"/>
          <w:i/>
          <w:lang w:val="fr-FR" w:eastAsia="fr-FR"/>
        </w:rPr>
        <w:t>En considérant que tant [</w:t>
      </w:r>
      <w:r w:rsidR="00FB3EBC">
        <w:rPr>
          <w:rFonts w:asciiTheme="minorHAnsi" w:hAnsiTheme="minorHAnsi" w:cstheme="minorHAnsi"/>
          <w:i/>
          <w:lang w:val="fr-FR" w:eastAsia="fr-FR"/>
        </w:rPr>
        <w:t>la demanderesse</w:t>
      </w:r>
      <w:r w:rsidRPr="00206FDD">
        <w:rPr>
          <w:rFonts w:asciiTheme="minorHAnsi" w:hAnsiTheme="minorHAnsi" w:cstheme="minorHAnsi"/>
          <w:i/>
          <w:lang w:val="fr-FR" w:eastAsia="fr-FR"/>
        </w:rPr>
        <w:t xml:space="preserve">] que les juridictions du travail sont liées par l’appréciation du service médical ‘quant au lien de causalité […] entre l’accident et les lésions, et, par </w:t>
      </w:r>
      <w:proofErr w:type="spellStart"/>
      <w:r w:rsidRPr="00206FDD">
        <w:rPr>
          <w:rFonts w:asciiTheme="minorHAnsi" w:hAnsiTheme="minorHAnsi" w:cstheme="minorHAnsi"/>
          <w:i/>
          <w:lang w:val="fr-FR" w:eastAsia="fr-FR"/>
        </w:rPr>
        <w:t>conséquen</w:t>
      </w:r>
      <w:proofErr w:type="spellEnd"/>
      <w:r w:rsidRPr="00206FDD">
        <w:rPr>
          <w:rFonts w:asciiTheme="minorHAnsi" w:hAnsiTheme="minorHAnsi" w:cstheme="minorHAnsi"/>
          <w:i/>
          <w:lang w:val="fr-FR" w:eastAsia="fr-FR"/>
        </w:rPr>
        <w:t>[t], quant à l’existence de l’accident’, l’arrêt viole les dispositions légales précitées. »</w:t>
      </w:r>
    </w:p>
    <w:p w14:paraId="5676FD39" w14:textId="2DDD526B" w:rsidR="00997EA5" w:rsidRPr="00206FDD" w:rsidRDefault="00997EA5" w:rsidP="00997EA5">
      <w:pPr>
        <w:jc w:val="both"/>
        <w:rPr>
          <w:rFonts w:asciiTheme="minorHAnsi" w:hAnsiTheme="minorHAnsi" w:cstheme="minorHAnsi"/>
          <w:i/>
          <w:lang w:val="fr-FR" w:eastAsia="fr-FR"/>
        </w:rPr>
      </w:pPr>
    </w:p>
    <w:p w14:paraId="70D97C83" w14:textId="3E066CB5" w:rsidR="00997EA5" w:rsidRDefault="00997EA5" w:rsidP="00997EA5">
      <w:pPr>
        <w:jc w:val="both"/>
        <w:rPr>
          <w:rFonts w:asciiTheme="minorHAnsi" w:hAnsiTheme="minorHAnsi" w:cstheme="minorHAnsi"/>
          <w:iCs/>
          <w:lang w:val="fr-FR" w:eastAsia="fr-FR"/>
        </w:rPr>
      </w:pPr>
      <w:r w:rsidRPr="00997EA5">
        <w:rPr>
          <w:rFonts w:asciiTheme="minorHAnsi" w:hAnsiTheme="minorHAnsi" w:cstheme="minorHAnsi"/>
          <w:iCs/>
          <w:lang w:val="fr-FR" w:eastAsia="fr-FR"/>
        </w:rPr>
        <w:t xml:space="preserve">En l’espèce </w:t>
      </w:r>
      <w:r w:rsidR="0065284F">
        <w:rPr>
          <w:rFonts w:asciiTheme="minorHAnsi" w:hAnsiTheme="minorHAnsi" w:cstheme="minorHAnsi"/>
          <w:iCs/>
          <w:lang w:val="fr-FR" w:eastAsia="fr-FR"/>
        </w:rPr>
        <w:t>le CHU</w:t>
      </w:r>
      <w:r w:rsidRPr="00997EA5">
        <w:rPr>
          <w:rFonts w:asciiTheme="minorHAnsi" w:hAnsiTheme="minorHAnsi" w:cstheme="minorHAnsi"/>
          <w:iCs/>
          <w:lang w:val="fr-FR" w:eastAsia="fr-FR"/>
        </w:rPr>
        <w:t xml:space="preserve"> estime que</w:t>
      </w:r>
      <w:r>
        <w:rPr>
          <w:rFonts w:asciiTheme="minorHAnsi" w:hAnsiTheme="minorHAnsi" w:cstheme="minorHAnsi"/>
          <w:iCs/>
          <w:lang w:val="fr-FR" w:eastAsia="fr-FR"/>
        </w:rPr>
        <w:t xml:space="preserve"> la question qui se pose po</w:t>
      </w:r>
      <w:r w:rsidR="00206FDD">
        <w:rPr>
          <w:rFonts w:asciiTheme="minorHAnsi" w:hAnsiTheme="minorHAnsi" w:cstheme="minorHAnsi"/>
          <w:iCs/>
          <w:lang w:val="fr-FR" w:eastAsia="fr-FR"/>
        </w:rPr>
        <w:t>rte en</w:t>
      </w:r>
      <w:r>
        <w:rPr>
          <w:rFonts w:asciiTheme="minorHAnsi" w:hAnsiTheme="minorHAnsi" w:cstheme="minorHAnsi"/>
          <w:iCs/>
          <w:lang w:val="fr-FR" w:eastAsia="fr-FR"/>
        </w:rPr>
        <w:t xml:space="preserve"> réalité sur l’existence de</w:t>
      </w:r>
      <w:r w:rsidR="00FB3EBC">
        <w:rPr>
          <w:rFonts w:asciiTheme="minorHAnsi" w:hAnsiTheme="minorHAnsi" w:cstheme="minorHAnsi"/>
          <w:iCs/>
          <w:lang w:val="fr-FR" w:eastAsia="fr-FR"/>
        </w:rPr>
        <w:t>s</w:t>
      </w:r>
      <w:r>
        <w:rPr>
          <w:rFonts w:asciiTheme="minorHAnsi" w:hAnsiTheme="minorHAnsi" w:cstheme="minorHAnsi"/>
          <w:iCs/>
          <w:lang w:val="fr-FR" w:eastAsia="fr-FR"/>
        </w:rPr>
        <w:t xml:space="preserve"> lésions imputables et qu’il y a lieu de déterminer l’influence de l’accident sur l’état antérieur</w:t>
      </w:r>
      <w:r w:rsidR="00D90C91">
        <w:rPr>
          <w:rFonts w:asciiTheme="minorHAnsi" w:hAnsiTheme="minorHAnsi" w:cstheme="minorHAnsi"/>
          <w:iCs/>
          <w:lang w:val="fr-FR" w:eastAsia="fr-FR"/>
        </w:rPr>
        <w:t>.</w:t>
      </w:r>
    </w:p>
    <w:p w14:paraId="2B0DD153" w14:textId="4C24253C" w:rsidR="00D90C91" w:rsidRDefault="00D90C91" w:rsidP="00997EA5">
      <w:pPr>
        <w:jc w:val="both"/>
        <w:rPr>
          <w:rFonts w:asciiTheme="minorHAnsi" w:hAnsiTheme="minorHAnsi" w:cstheme="minorHAnsi"/>
          <w:iCs/>
          <w:lang w:val="fr-FR" w:eastAsia="fr-FR"/>
        </w:rPr>
      </w:pPr>
    </w:p>
    <w:p w14:paraId="21B53E99" w14:textId="7C057830" w:rsidR="00D90C91" w:rsidRDefault="00D90C91" w:rsidP="00997EA5">
      <w:pPr>
        <w:jc w:val="both"/>
        <w:rPr>
          <w:rFonts w:asciiTheme="minorHAnsi" w:hAnsiTheme="minorHAnsi" w:cstheme="minorHAnsi"/>
          <w:iCs/>
          <w:lang w:val="fr-FR" w:eastAsia="fr-FR"/>
        </w:rPr>
      </w:pPr>
      <w:r>
        <w:rPr>
          <w:rFonts w:asciiTheme="minorHAnsi" w:hAnsiTheme="minorHAnsi" w:cstheme="minorHAnsi"/>
          <w:iCs/>
          <w:lang w:val="fr-FR" w:eastAsia="fr-FR"/>
        </w:rPr>
        <w:t>Il y a lieu dès lors de déterminer si les constatations du MEDEX quant à ce lien de causalité sont contraignantes.</w:t>
      </w:r>
    </w:p>
    <w:p w14:paraId="659C0A1A" w14:textId="2E3C6901" w:rsidR="00997EA5" w:rsidRDefault="00997EA5" w:rsidP="00997EA5">
      <w:pPr>
        <w:jc w:val="both"/>
        <w:rPr>
          <w:rFonts w:asciiTheme="minorHAnsi" w:hAnsiTheme="minorHAnsi" w:cstheme="minorHAnsi"/>
          <w:iCs/>
          <w:lang w:val="fr-FR" w:eastAsia="fr-FR"/>
        </w:rPr>
      </w:pPr>
    </w:p>
    <w:p w14:paraId="5E9511DF" w14:textId="1D08BA86" w:rsidR="00997EA5" w:rsidRDefault="00997EA5" w:rsidP="00997EA5">
      <w:pPr>
        <w:jc w:val="both"/>
        <w:rPr>
          <w:rFonts w:asciiTheme="minorHAnsi" w:hAnsiTheme="minorHAnsi" w:cstheme="minorHAnsi"/>
          <w:iCs/>
          <w:lang w:val="fr-FR" w:eastAsia="fr-FR"/>
        </w:rPr>
      </w:pPr>
      <w:r>
        <w:rPr>
          <w:rFonts w:asciiTheme="minorHAnsi" w:hAnsiTheme="minorHAnsi" w:cstheme="minorHAnsi"/>
          <w:iCs/>
          <w:lang w:val="fr-FR" w:eastAsia="fr-FR"/>
        </w:rPr>
        <w:t>Comme le souligne le CHU en termes de conclusions, le CHU de Liège est un organisme d’intérêt public visé par la loi du 16 mars 1954.</w:t>
      </w:r>
    </w:p>
    <w:p w14:paraId="72E864A5" w14:textId="5869F019" w:rsidR="00997EA5" w:rsidRDefault="00997EA5" w:rsidP="00997EA5">
      <w:pPr>
        <w:jc w:val="both"/>
        <w:rPr>
          <w:rFonts w:asciiTheme="minorHAnsi" w:hAnsiTheme="minorHAnsi" w:cstheme="minorHAnsi"/>
          <w:iCs/>
          <w:lang w:val="fr-FR" w:eastAsia="fr-FR"/>
        </w:rPr>
      </w:pPr>
    </w:p>
    <w:p w14:paraId="0CE45EC4" w14:textId="73C80890" w:rsidR="00997EA5" w:rsidRDefault="00997EA5" w:rsidP="00997EA5">
      <w:pPr>
        <w:jc w:val="both"/>
        <w:rPr>
          <w:rFonts w:asciiTheme="minorHAnsi" w:hAnsiTheme="minorHAnsi" w:cstheme="minorHAnsi"/>
          <w:iCs/>
          <w:lang w:val="fr-FR" w:eastAsia="fr-FR"/>
        </w:rPr>
      </w:pPr>
      <w:r>
        <w:rPr>
          <w:rFonts w:asciiTheme="minorHAnsi" w:hAnsiTheme="minorHAnsi" w:cstheme="minorHAnsi"/>
          <w:iCs/>
          <w:lang w:val="fr-FR" w:eastAsia="fr-FR"/>
        </w:rPr>
        <w:t xml:space="preserve">Les dispositions légales et réglementaires applicables en l’espèce </w:t>
      </w:r>
      <w:r w:rsidR="00206FDD">
        <w:rPr>
          <w:rFonts w:asciiTheme="minorHAnsi" w:hAnsiTheme="minorHAnsi" w:cstheme="minorHAnsi"/>
          <w:iCs/>
          <w:lang w:val="fr-FR" w:eastAsia="fr-FR"/>
        </w:rPr>
        <w:t>sont celles de</w:t>
      </w:r>
      <w:r>
        <w:rPr>
          <w:rFonts w:asciiTheme="minorHAnsi" w:hAnsiTheme="minorHAnsi" w:cstheme="minorHAnsi"/>
          <w:iCs/>
          <w:lang w:val="fr-FR" w:eastAsia="fr-FR"/>
        </w:rPr>
        <w:t xml:space="preserve"> la loi du 3 juillet 1967 sur la réparation des accidents du travail dans secteur public et l’arrêté royal du 12 juin 1970 pris en faveur des membres du personnel des organismes d’intérêt public, comme l’est le CHU de Liège.</w:t>
      </w:r>
    </w:p>
    <w:p w14:paraId="732CC71F" w14:textId="7D3768C9" w:rsidR="00997EA5" w:rsidRDefault="00997EA5" w:rsidP="00997EA5">
      <w:pPr>
        <w:jc w:val="both"/>
        <w:rPr>
          <w:rFonts w:asciiTheme="minorHAnsi" w:hAnsiTheme="minorHAnsi" w:cstheme="minorHAnsi"/>
          <w:iCs/>
          <w:lang w:val="fr-FR" w:eastAsia="fr-FR"/>
        </w:rPr>
      </w:pPr>
      <w:r>
        <w:rPr>
          <w:rFonts w:asciiTheme="minorHAnsi" w:hAnsiTheme="minorHAnsi" w:cstheme="minorHAnsi"/>
          <w:iCs/>
          <w:lang w:val="fr-FR" w:eastAsia="fr-FR"/>
        </w:rPr>
        <w:t>S’agissant de la procédure, et donc d</w:t>
      </w:r>
      <w:r w:rsidR="00206FDD">
        <w:rPr>
          <w:rFonts w:asciiTheme="minorHAnsi" w:hAnsiTheme="minorHAnsi" w:cstheme="minorHAnsi"/>
          <w:iCs/>
          <w:lang w:val="fr-FR" w:eastAsia="fr-FR"/>
        </w:rPr>
        <w:t>u</w:t>
      </w:r>
      <w:r>
        <w:rPr>
          <w:rFonts w:asciiTheme="minorHAnsi" w:hAnsiTheme="minorHAnsi" w:cstheme="minorHAnsi"/>
          <w:iCs/>
          <w:lang w:val="fr-FR" w:eastAsia="fr-FR"/>
        </w:rPr>
        <w:t xml:space="preserve"> rôle et de la portée des décisions du service administratif et médical, l’article </w:t>
      </w:r>
      <w:r w:rsidR="00FB3EBC">
        <w:rPr>
          <w:rFonts w:asciiTheme="minorHAnsi" w:hAnsiTheme="minorHAnsi" w:cstheme="minorHAnsi"/>
          <w:iCs/>
          <w:lang w:val="fr-FR" w:eastAsia="fr-FR"/>
        </w:rPr>
        <w:t>3</w:t>
      </w:r>
      <w:r>
        <w:rPr>
          <w:rFonts w:asciiTheme="minorHAnsi" w:hAnsiTheme="minorHAnsi" w:cstheme="minorHAnsi"/>
          <w:iCs/>
          <w:lang w:val="fr-FR" w:eastAsia="fr-FR"/>
        </w:rPr>
        <w:t xml:space="preserve"> de l’</w:t>
      </w:r>
      <w:r w:rsidR="00FB3EBC">
        <w:rPr>
          <w:rFonts w:asciiTheme="minorHAnsi" w:hAnsiTheme="minorHAnsi" w:cstheme="minorHAnsi"/>
          <w:iCs/>
          <w:lang w:val="fr-FR" w:eastAsia="fr-FR"/>
        </w:rPr>
        <w:t>A</w:t>
      </w:r>
      <w:r>
        <w:rPr>
          <w:rFonts w:asciiTheme="minorHAnsi" w:hAnsiTheme="minorHAnsi" w:cstheme="minorHAnsi"/>
          <w:iCs/>
          <w:lang w:val="fr-FR" w:eastAsia="fr-FR"/>
        </w:rPr>
        <w:t xml:space="preserve">rrêté </w:t>
      </w:r>
      <w:r w:rsidR="00FB3EBC">
        <w:rPr>
          <w:rFonts w:asciiTheme="minorHAnsi" w:hAnsiTheme="minorHAnsi" w:cstheme="minorHAnsi"/>
          <w:iCs/>
          <w:lang w:val="fr-FR" w:eastAsia="fr-FR"/>
        </w:rPr>
        <w:t>R</w:t>
      </w:r>
      <w:r>
        <w:rPr>
          <w:rFonts w:asciiTheme="minorHAnsi" w:hAnsiTheme="minorHAnsi" w:cstheme="minorHAnsi"/>
          <w:iCs/>
          <w:lang w:val="fr-FR" w:eastAsia="fr-FR"/>
        </w:rPr>
        <w:t>oyal du 12 juin 1970 renvoi</w:t>
      </w:r>
      <w:r w:rsidR="00FB3EBC">
        <w:rPr>
          <w:rFonts w:asciiTheme="minorHAnsi" w:hAnsiTheme="minorHAnsi" w:cstheme="minorHAnsi"/>
          <w:iCs/>
          <w:lang w:val="fr-FR" w:eastAsia="fr-FR"/>
        </w:rPr>
        <w:t>e</w:t>
      </w:r>
      <w:r>
        <w:rPr>
          <w:rFonts w:asciiTheme="minorHAnsi" w:hAnsiTheme="minorHAnsi" w:cstheme="minorHAnsi"/>
          <w:iCs/>
          <w:lang w:val="fr-FR" w:eastAsia="fr-FR"/>
        </w:rPr>
        <w:t xml:space="preserve"> à l’</w:t>
      </w:r>
      <w:r w:rsidR="00206FDD">
        <w:rPr>
          <w:rFonts w:asciiTheme="minorHAnsi" w:hAnsiTheme="minorHAnsi" w:cstheme="minorHAnsi"/>
          <w:iCs/>
          <w:lang w:val="fr-FR" w:eastAsia="fr-FR"/>
        </w:rPr>
        <w:t>A</w:t>
      </w:r>
      <w:r>
        <w:rPr>
          <w:rFonts w:asciiTheme="minorHAnsi" w:hAnsiTheme="minorHAnsi" w:cstheme="minorHAnsi"/>
          <w:iCs/>
          <w:lang w:val="fr-FR" w:eastAsia="fr-FR"/>
        </w:rPr>
        <w:t>rrêté Royal du 24 janvier 1</w:t>
      </w:r>
      <w:r w:rsidR="000237D0">
        <w:rPr>
          <w:rFonts w:asciiTheme="minorHAnsi" w:hAnsiTheme="minorHAnsi" w:cstheme="minorHAnsi"/>
          <w:iCs/>
          <w:lang w:val="fr-FR" w:eastAsia="fr-FR"/>
        </w:rPr>
        <w:t>9</w:t>
      </w:r>
      <w:r>
        <w:rPr>
          <w:rFonts w:asciiTheme="minorHAnsi" w:hAnsiTheme="minorHAnsi" w:cstheme="minorHAnsi"/>
          <w:iCs/>
          <w:lang w:val="fr-FR" w:eastAsia="fr-FR"/>
        </w:rPr>
        <w:t>69 relatif à la réparation, en faveur des membres du personnel du secteur public, des dommages résultant des accidents du travail et des accidents survenus sur le chemin du travail.</w:t>
      </w:r>
    </w:p>
    <w:p w14:paraId="2DD2B3F1" w14:textId="074DDFF9" w:rsidR="000237D0" w:rsidRDefault="000237D0" w:rsidP="00997EA5">
      <w:pPr>
        <w:jc w:val="both"/>
        <w:rPr>
          <w:rFonts w:asciiTheme="minorHAnsi" w:hAnsiTheme="minorHAnsi" w:cstheme="minorHAnsi"/>
          <w:iCs/>
          <w:lang w:val="fr-FR" w:eastAsia="fr-FR"/>
        </w:rPr>
      </w:pPr>
    </w:p>
    <w:p w14:paraId="51960881" w14:textId="40E0605F" w:rsidR="000237D0" w:rsidRDefault="000237D0" w:rsidP="00997EA5">
      <w:pPr>
        <w:jc w:val="both"/>
        <w:rPr>
          <w:rFonts w:asciiTheme="minorHAnsi" w:hAnsiTheme="minorHAnsi" w:cstheme="minorHAnsi"/>
          <w:iCs/>
          <w:lang w:val="fr-FR" w:eastAsia="fr-FR"/>
        </w:rPr>
      </w:pPr>
      <w:r>
        <w:rPr>
          <w:rFonts w:asciiTheme="minorHAnsi" w:hAnsiTheme="minorHAnsi" w:cstheme="minorHAnsi"/>
          <w:iCs/>
          <w:lang w:val="fr-FR" w:eastAsia="fr-FR"/>
        </w:rPr>
        <w:t xml:space="preserve">L’article </w:t>
      </w:r>
      <w:r w:rsidR="00206FDD">
        <w:rPr>
          <w:rFonts w:asciiTheme="minorHAnsi" w:hAnsiTheme="minorHAnsi" w:cstheme="minorHAnsi"/>
          <w:iCs/>
          <w:lang w:val="fr-FR" w:eastAsia="fr-FR"/>
        </w:rPr>
        <w:t>8</w:t>
      </w:r>
      <w:r>
        <w:rPr>
          <w:rFonts w:asciiTheme="minorHAnsi" w:hAnsiTheme="minorHAnsi" w:cstheme="minorHAnsi"/>
          <w:iCs/>
          <w:lang w:val="fr-FR" w:eastAsia="fr-FR"/>
        </w:rPr>
        <w:t xml:space="preserve"> de cet </w:t>
      </w:r>
      <w:r w:rsidR="00206FDD">
        <w:rPr>
          <w:rFonts w:asciiTheme="minorHAnsi" w:hAnsiTheme="minorHAnsi" w:cstheme="minorHAnsi"/>
          <w:iCs/>
          <w:lang w:val="fr-FR" w:eastAsia="fr-FR"/>
        </w:rPr>
        <w:t>A</w:t>
      </w:r>
      <w:r>
        <w:rPr>
          <w:rFonts w:asciiTheme="minorHAnsi" w:hAnsiTheme="minorHAnsi" w:cstheme="minorHAnsi"/>
          <w:iCs/>
          <w:lang w:val="fr-FR" w:eastAsia="fr-FR"/>
        </w:rPr>
        <w:t xml:space="preserve">rrêté </w:t>
      </w:r>
      <w:r w:rsidR="00206FDD">
        <w:rPr>
          <w:rFonts w:asciiTheme="minorHAnsi" w:hAnsiTheme="minorHAnsi" w:cstheme="minorHAnsi"/>
          <w:iCs/>
          <w:lang w:val="fr-FR" w:eastAsia="fr-FR"/>
        </w:rPr>
        <w:t>R</w:t>
      </w:r>
      <w:r>
        <w:rPr>
          <w:rFonts w:asciiTheme="minorHAnsi" w:hAnsiTheme="minorHAnsi" w:cstheme="minorHAnsi"/>
          <w:iCs/>
          <w:lang w:val="fr-FR" w:eastAsia="fr-FR"/>
        </w:rPr>
        <w:t>oyal prévoyait dans sa version initiale que</w:t>
      </w:r>
      <w:r w:rsidR="00D90C91">
        <w:rPr>
          <w:rFonts w:asciiTheme="minorHAnsi" w:hAnsiTheme="minorHAnsi" w:cstheme="minorHAnsi"/>
          <w:iCs/>
          <w:lang w:val="fr-FR" w:eastAsia="fr-FR"/>
        </w:rPr>
        <w:t> :</w:t>
      </w:r>
    </w:p>
    <w:p w14:paraId="67E08676" w14:textId="2B934997" w:rsidR="000237D0" w:rsidRDefault="000237D0" w:rsidP="00997EA5">
      <w:pPr>
        <w:jc w:val="both"/>
        <w:rPr>
          <w:rFonts w:asciiTheme="minorHAnsi" w:hAnsiTheme="minorHAnsi" w:cstheme="minorHAnsi"/>
          <w:iCs/>
          <w:lang w:val="fr-FR" w:eastAsia="fr-FR"/>
        </w:rPr>
      </w:pPr>
    </w:p>
    <w:p w14:paraId="4C7AEED6" w14:textId="00FE33A1" w:rsidR="000237D0" w:rsidRPr="00D90C91" w:rsidRDefault="000237D0" w:rsidP="00997EA5">
      <w:pPr>
        <w:jc w:val="both"/>
        <w:rPr>
          <w:rFonts w:asciiTheme="minorHAnsi" w:hAnsiTheme="minorHAnsi" w:cstheme="minorHAnsi"/>
          <w:i/>
          <w:lang w:val="fr-FR" w:eastAsia="fr-FR"/>
        </w:rPr>
      </w:pPr>
      <w:r w:rsidRPr="00D90C91">
        <w:rPr>
          <w:rFonts w:asciiTheme="minorHAnsi" w:hAnsiTheme="minorHAnsi" w:cstheme="minorHAnsi"/>
          <w:i/>
          <w:lang w:val="fr-FR" w:eastAsia="fr-FR"/>
        </w:rPr>
        <w:lastRenderedPageBreak/>
        <w:t xml:space="preserve">Le service de santé administratif fixe le pourcentage de l’invalidité permanente résultant des lésions physiologiques occasionnées par </w:t>
      </w:r>
      <w:r w:rsidR="00206FDD" w:rsidRPr="00D90C91">
        <w:rPr>
          <w:rFonts w:asciiTheme="minorHAnsi" w:hAnsiTheme="minorHAnsi" w:cstheme="minorHAnsi"/>
          <w:i/>
          <w:lang w:val="fr-FR" w:eastAsia="fr-FR"/>
        </w:rPr>
        <w:t>l’accident.</w:t>
      </w:r>
    </w:p>
    <w:p w14:paraId="32DD8E8E" w14:textId="78B2AD02" w:rsidR="00997EA5" w:rsidRDefault="00997EA5" w:rsidP="00997EA5">
      <w:pPr>
        <w:jc w:val="both"/>
        <w:rPr>
          <w:rFonts w:asciiTheme="minorHAnsi" w:hAnsiTheme="minorHAnsi" w:cstheme="minorHAnsi"/>
          <w:iCs/>
          <w:lang w:val="fr-FR" w:eastAsia="fr-FR"/>
        </w:rPr>
      </w:pPr>
    </w:p>
    <w:p w14:paraId="1C52E728" w14:textId="330F6A2D" w:rsidR="000237D0" w:rsidRDefault="008915B0" w:rsidP="000237D0">
      <w:pPr>
        <w:jc w:val="both"/>
        <w:rPr>
          <w:rFonts w:ascii="Calibri" w:hAnsi="Calibri" w:cs="Calibri"/>
          <w:lang w:val="fr-FR" w:eastAsia="fr-FR"/>
        </w:rPr>
      </w:pPr>
      <w:r>
        <w:rPr>
          <w:rFonts w:ascii="Calibri" w:hAnsi="Calibri" w:cs="Calibri"/>
          <w:lang w:val="fr-FR" w:eastAsia="fr-FR"/>
        </w:rPr>
        <w:t>L’article 8 a été modifié par un arrêté royal du 8 mai 2014 entré en vigueur le 1</w:t>
      </w:r>
      <w:r w:rsidRPr="008915B0">
        <w:rPr>
          <w:rFonts w:ascii="Calibri" w:hAnsi="Calibri" w:cs="Calibri"/>
          <w:vertAlign w:val="superscript"/>
          <w:lang w:val="fr-FR" w:eastAsia="fr-FR"/>
        </w:rPr>
        <w:t>er</w:t>
      </w:r>
      <w:r>
        <w:rPr>
          <w:rFonts w:ascii="Calibri" w:hAnsi="Calibri" w:cs="Calibri"/>
          <w:lang w:val="fr-FR" w:eastAsia="fr-FR"/>
        </w:rPr>
        <w:t xml:space="preserve"> juillet 2014 qui précise dans sa nouvelle version</w:t>
      </w:r>
    </w:p>
    <w:p w14:paraId="76B58E3D" w14:textId="77777777" w:rsidR="008915B0" w:rsidRPr="008915B0" w:rsidRDefault="008915B0" w:rsidP="000237D0">
      <w:pPr>
        <w:jc w:val="both"/>
        <w:rPr>
          <w:rFonts w:ascii="Calibri" w:hAnsi="Calibri" w:cs="Calibri"/>
          <w:lang w:val="fr-FR" w:eastAsia="fr-FR"/>
        </w:rPr>
      </w:pPr>
    </w:p>
    <w:p w14:paraId="337AB1F3" w14:textId="4B37C82C" w:rsidR="000237D0" w:rsidRDefault="000237D0" w:rsidP="000237D0">
      <w:pPr>
        <w:jc w:val="both"/>
        <w:rPr>
          <w:rFonts w:ascii="Calibri" w:hAnsi="Calibri" w:cs="Calibri"/>
          <w:i/>
          <w:lang w:val="fr-FR" w:eastAsia="fr-FR"/>
        </w:rPr>
      </w:pPr>
      <w:r>
        <w:rPr>
          <w:rFonts w:ascii="Calibri" w:hAnsi="Calibri" w:cs="Calibri"/>
          <w:i/>
          <w:lang w:val="fr-FR" w:eastAsia="fr-FR"/>
        </w:rPr>
        <w:t xml:space="preserve">- </w:t>
      </w:r>
      <w:r>
        <w:rPr>
          <w:rFonts w:ascii="Calibri" w:hAnsi="Calibri" w:cs="Calibri"/>
          <w:i/>
          <w:lang w:val="fr-FR" w:eastAsia="fr-FR"/>
        </w:rPr>
        <w:tab/>
        <w:t>« </w:t>
      </w:r>
      <w:r w:rsidRPr="00DC3311">
        <w:rPr>
          <w:rFonts w:ascii="Calibri" w:hAnsi="Calibri" w:cs="Calibri"/>
          <w:i/>
          <w:lang w:val="fr-FR" w:eastAsia="fr-FR"/>
        </w:rPr>
        <w:t>Le service médical est désign</w:t>
      </w:r>
      <w:r w:rsidR="008915B0">
        <w:rPr>
          <w:rFonts w:ascii="Calibri" w:hAnsi="Calibri" w:cs="Calibri"/>
          <w:i/>
          <w:lang w:val="fr-FR" w:eastAsia="fr-FR"/>
        </w:rPr>
        <w:t>é</w:t>
      </w:r>
      <w:r w:rsidRPr="00DC3311">
        <w:rPr>
          <w:rFonts w:ascii="Calibri" w:hAnsi="Calibri" w:cs="Calibri"/>
          <w:i/>
          <w:lang w:val="fr-FR" w:eastAsia="fr-FR"/>
        </w:rPr>
        <w:t xml:space="preserve"> :</w:t>
      </w:r>
    </w:p>
    <w:p w14:paraId="05099341" w14:textId="015CCFC7" w:rsidR="000237D0" w:rsidRDefault="000237D0" w:rsidP="000237D0">
      <w:pPr>
        <w:ind w:left="720"/>
        <w:jc w:val="both"/>
        <w:rPr>
          <w:rFonts w:ascii="Calibri" w:hAnsi="Calibri" w:cs="Calibri"/>
          <w:i/>
          <w:lang w:val="fr-FR" w:eastAsia="fr-FR"/>
        </w:rPr>
      </w:pPr>
      <w:r w:rsidRPr="00DC3311">
        <w:rPr>
          <w:rFonts w:ascii="Calibri" w:hAnsi="Calibri" w:cs="Calibri"/>
          <w:i/>
          <w:lang w:val="fr-FR" w:eastAsia="fr-FR"/>
        </w:rPr>
        <w:br/>
        <w:t xml:space="preserve"> - </w:t>
      </w:r>
      <w:r w:rsidRPr="00D90C91">
        <w:rPr>
          <w:rFonts w:ascii="Calibri" w:hAnsi="Calibri" w:cs="Calibri"/>
          <w:i/>
          <w:u w:val="single"/>
          <w:lang w:val="fr-FR" w:eastAsia="fr-FR"/>
        </w:rPr>
        <w:t>pour vérifier le lien de causalité</w:t>
      </w:r>
      <w:r w:rsidRPr="00DC3311">
        <w:rPr>
          <w:rFonts w:ascii="Calibri" w:hAnsi="Calibri" w:cs="Calibri"/>
          <w:i/>
          <w:lang w:val="fr-FR" w:eastAsia="fr-FR"/>
        </w:rPr>
        <w:t xml:space="preserve"> entre l'accident du travail et les </w:t>
      </w:r>
      <w:r w:rsidR="00206FDD" w:rsidRPr="00DC3311">
        <w:rPr>
          <w:rFonts w:ascii="Calibri" w:hAnsi="Calibri" w:cs="Calibri"/>
          <w:i/>
          <w:lang w:val="fr-FR" w:eastAsia="fr-FR"/>
        </w:rPr>
        <w:t>lésions ;</w:t>
      </w:r>
    </w:p>
    <w:p w14:paraId="5B62E9E2" w14:textId="0D1A506E" w:rsidR="000237D0" w:rsidRDefault="000237D0" w:rsidP="000237D0">
      <w:pPr>
        <w:ind w:left="720"/>
        <w:jc w:val="both"/>
        <w:rPr>
          <w:rFonts w:ascii="Calibri" w:hAnsi="Calibri" w:cs="Calibri"/>
          <w:i/>
          <w:lang w:val="fr-FR" w:eastAsia="fr-FR"/>
        </w:rPr>
      </w:pPr>
      <w:r w:rsidRPr="00DC3311">
        <w:rPr>
          <w:rFonts w:ascii="Calibri" w:hAnsi="Calibri" w:cs="Calibri"/>
          <w:i/>
          <w:lang w:val="fr-FR" w:eastAsia="fr-FR"/>
        </w:rPr>
        <w:t xml:space="preserve">- </w:t>
      </w:r>
      <w:r w:rsidRPr="00D90C91">
        <w:rPr>
          <w:rFonts w:ascii="Calibri" w:hAnsi="Calibri" w:cs="Calibri"/>
          <w:iCs/>
          <w:lang w:val="fr-FR" w:eastAsia="fr-FR"/>
        </w:rPr>
        <w:t>pour établir le lien de causalité</w:t>
      </w:r>
      <w:r w:rsidRPr="00DC3311">
        <w:rPr>
          <w:rFonts w:ascii="Calibri" w:hAnsi="Calibri" w:cs="Calibri"/>
          <w:i/>
          <w:lang w:val="fr-FR" w:eastAsia="fr-FR"/>
        </w:rPr>
        <w:t xml:space="preserve"> entre l'accident du travail et les périodes d'incapacité de </w:t>
      </w:r>
      <w:r w:rsidR="00206FDD" w:rsidRPr="00DC3311">
        <w:rPr>
          <w:rFonts w:ascii="Calibri" w:hAnsi="Calibri" w:cs="Calibri"/>
          <w:i/>
          <w:lang w:val="fr-FR" w:eastAsia="fr-FR"/>
        </w:rPr>
        <w:t>travail ;</w:t>
      </w:r>
    </w:p>
    <w:p w14:paraId="7CB36D4F" w14:textId="7ADDEE8E" w:rsidR="000237D0" w:rsidRDefault="000237D0" w:rsidP="000237D0">
      <w:pPr>
        <w:ind w:left="720"/>
        <w:jc w:val="both"/>
        <w:rPr>
          <w:rFonts w:ascii="Calibri" w:hAnsi="Calibri" w:cs="Calibri"/>
          <w:i/>
          <w:lang w:val="fr-FR" w:eastAsia="fr-FR"/>
        </w:rPr>
      </w:pPr>
      <w:r w:rsidRPr="00DC3311">
        <w:rPr>
          <w:rFonts w:ascii="Calibri" w:hAnsi="Calibri" w:cs="Calibri"/>
          <w:i/>
          <w:lang w:val="fr-FR" w:eastAsia="fr-FR"/>
        </w:rPr>
        <w:t xml:space="preserve">- </w:t>
      </w:r>
      <w:r w:rsidRPr="00D90C91">
        <w:rPr>
          <w:rFonts w:ascii="Calibri" w:hAnsi="Calibri" w:cs="Calibri"/>
          <w:i/>
          <w:u w:val="single"/>
          <w:lang w:val="fr-FR" w:eastAsia="fr-FR"/>
        </w:rPr>
        <w:t>pour fixer la date de consolidation, le pourcentage</w:t>
      </w:r>
      <w:r w:rsidRPr="00D90C91">
        <w:rPr>
          <w:rFonts w:ascii="Calibri" w:hAnsi="Calibri" w:cs="Calibri"/>
          <w:iCs/>
          <w:u w:val="single"/>
          <w:lang w:val="fr-FR" w:eastAsia="fr-FR"/>
        </w:rPr>
        <w:t xml:space="preserve"> </w:t>
      </w:r>
      <w:r w:rsidRPr="00D90C91">
        <w:rPr>
          <w:rFonts w:ascii="Calibri" w:hAnsi="Calibri" w:cs="Calibri"/>
          <w:i/>
          <w:u w:val="single"/>
          <w:lang w:val="fr-FR" w:eastAsia="fr-FR"/>
        </w:rPr>
        <w:t>d'incapacité permanente</w:t>
      </w:r>
      <w:r w:rsidRPr="00DC3311">
        <w:rPr>
          <w:rFonts w:ascii="Calibri" w:hAnsi="Calibri" w:cs="Calibri"/>
          <w:i/>
          <w:lang w:val="fr-FR" w:eastAsia="fr-FR"/>
        </w:rPr>
        <w:t xml:space="preserve"> et le pourcentage de l'aide d'une tierce personne.</w:t>
      </w:r>
      <w:r w:rsidR="00D90C91">
        <w:rPr>
          <w:rStyle w:val="Appelnotedebasdep"/>
          <w:rFonts w:ascii="Calibri" w:hAnsi="Calibri" w:cs="Calibri"/>
          <w:i/>
          <w:lang w:val="fr-FR" w:eastAsia="fr-FR"/>
        </w:rPr>
        <w:footnoteReference w:id="2"/>
      </w:r>
    </w:p>
    <w:p w14:paraId="0A756EEE" w14:textId="77777777" w:rsidR="000237D0" w:rsidRDefault="000237D0" w:rsidP="000237D0">
      <w:pPr>
        <w:ind w:left="720"/>
        <w:jc w:val="both"/>
        <w:rPr>
          <w:rFonts w:ascii="Calibri" w:hAnsi="Calibri" w:cs="Calibri"/>
          <w:i/>
          <w:lang w:val="fr-FR" w:eastAsia="fr-FR"/>
        </w:rPr>
      </w:pPr>
      <w:r w:rsidRPr="00DC3311">
        <w:rPr>
          <w:rFonts w:ascii="Calibri" w:hAnsi="Calibri" w:cs="Calibri"/>
          <w:i/>
          <w:lang w:val="fr-FR" w:eastAsia="fr-FR"/>
        </w:rPr>
        <w:br/>
        <w:t>L'établissement du lien de causalité entre l'accident du travail et les périodes d'incapacité de travail ne comprend pas le contrôle de l'absence.</w:t>
      </w:r>
    </w:p>
    <w:p w14:paraId="562D646B" w14:textId="77777777" w:rsidR="000237D0" w:rsidRDefault="000237D0" w:rsidP="000237D0">
      <w:pPr>
        <w:ind w:left="720"/>
        <w:jc w:val="both"/>
        <w:rPr>
          <w:rFonts w:ascii="Calibri" w:hAnsi="Calibri" w:cs="Calibri"/>
          <w:i/>
          <w:lang w:val="fr-FR" w:eastAsia="fr-FR"/>
        </w:rPr>
      </w:pPr>
      <w:r w:rsidRPr="00DC3311">
        <w:rPr>
          <w:rFonts w:ascii="Calibri" w:hAnsi="Calibri" w:cs="Calibri"/>
          <w:i/>
          <w:lang w:val="fr-FR" w:eastAsia="fr-FR"/>
        </w:rPr>
        <w:br/>
        <w:t>Le service médical notifie dans les 30 jours ses décisions à l'autorité.</w:t>
      </w:r>
    </w:p>
    <w:p w14:paraId="26725369" w14:textId="2EDF0635" w:rsidR="000237D0" w:rsidRDefault="000237D0" w:rsidP="000237D0">
      <w:pPr>
        <w:ind w:left="720"/>
        <w:jc w:val="both"/>
        <w:rPr>
          <w:rFonts w:ascii="Calibri" w:hAnsi="Calibri" w:cs="Calibri"/>
          <w:lang w:val="fr-FR" w:eastAsia="fr-FR"/>
        </w:rPr>
      </w:pPr>
      <w:r w:rsidRPr="00DC3311">
        <w:rPr>
          <w:rFonts w:ascii="Calibri" w:hAnsi="Calibri" w:cs="Calibri"/>
          <w:i/>
          <w:lang w:val="fr-FR" w:eastAsia="fr-FR"/>
        </w:rPr>
        <w:br/>
        <w:t>Si la victime ne se présente pas auprès du service médical sans invoquer de motif valable, après avoir été deux fois mise en demeure par lettre recommandée, l'autorité peut lui notifier sa décision de déclaration de guérison sans in</w:t>
      </w:r>
      <w:r>
        <w:rPr>
          <w:rFonts w:ascii="Calibri" w:hAnsi="Calibri" w:cs="Calibri"/>
          <w:i/>
          <w:lang w:val="fr-FR" w:eastAsia="fr-FR"/>
        </w:rPr>
        <w:t>capacité permanente de travail. »</w:t>
      </w:r>
      <w:r>
        <w:rPr>
          <w:rFonts w:ascii="Calibri" w:hAnsi="Calibri" w:cs="Calibri"/>
          <w:lang w:val="fr-FR" w:eastAsia="fr-FR"/>
        </w:rPr>
        <w:t xml:space="preserve"> (article 8)</w:t>
      </w:r>
    </w:p>
    <w:p w14:paraId="3CFDDAAC" w14:textId="71BAD3E5" w:rsidR="008915B0" w:rsidRDefault="008915B0" w:rsidP="000237D0">
      <w:pPr>
        <w:ind w:left="720"/>
        <w:jc w:val="both"/>
        <w:rPr>
          <w:rFonts w:ascii="Calibri" w:hAnsi="Calibri" w:cs="Calibri"/>
          <w:lang w:val="fr-FR" w:eastAsia="fr-FR"/>
        </w:rPr>
      </w:pPr>
    </w:p>
    <w:p w14:paraId="275FE91C" w14:textId="57CFAFE2" w:rsidR="008915B0" w:rsidRPr="00DC3311" w:rsidRDefault="008915B0" w:rsidP="000237D0">
      <w:pPr>
        <w:ind w:left="720"/>
        <w:jc w:val="both"/>
        <w:rPr>
          <w:rFonts w:ascii="Calibri" w:hAnsi="Calibri" w:cs="Calibri"/>
          <w:lang w:val="fr-FR" w:eastAsia="fr-FR"/>
        </w:rPr>
      </w:pPr>
      <w:r>
        <w:rPr>
          <w:rFonts w:ascii="Calibri" w:hAnsi="Calibri" w:cs="Calibri"/>
          <w:lang w:val="fr-FR" w:eastAsia="fr-FR"/>
        </w:rPr>
        <w:t>L’article 9 précise :</w:t>
      </w:r>
    </w:p>
    <w:p w14:paraId="0AF6A443" w14:textId="156716B6" w:rsidR="000237D0" w:rsidRPr="001426FA" w:rsidRDefault="008915B0" w:rsidP="000237D0">
      <w:pPr>
        <w:tabs>
          <w:tab w:val="left" w:pos="1985"/>
        </w:tabs>
        <w:jc w:val="both"/>
        <w:rPr>
          <w:rFonts w:ascii="Calibri" w:hAnsi="Calibri" w:cs="Calibri"/>
          <w:color w:val="0000FF"/>
          <w:highlight w:val="yellow"/>
        </w:rPr>
      </w:pPr>
      <w:r>
        <w:rPr>
          <w:rFonts w:ascii="Calibri" w:hAnsi="Calibri" w:cs="Calibri"/>
          <w:color w:val="0000FF"/>
          <w:highlight w:val="yellow"/>
        </w:rPr>
        <w:t xml:space="preserve"> </w:t>
      </w:r>
    </w:p>
    <w:p w14:paraId="33084BE6" w14:textId="77777777" w:rsidR="000237D0" w:rsidRDefault="000237D0" w:rsidP="000237D0">
      <w:pPr>
        <w:ind w:left="709" w:hanging="709"/>
        <w:jc w:val="both"/>
        <w:rPr>
          <w:rFonts w:ascii="Calibri" w:hAnsi="Calibri" w:cs="Calibri"/>
          <w:i/>
          <w:lang w:val="fr-FR" w:eastAsia="fr-FR"/>
        </w:rPr>
      </w:pPr>
      <w:r>
        <w:rPr>
          <w:rFonts w:ascii="Calibri" w:hAnsi="Calibri" w:cs="Calibri"/>
          <w:i/>
          <w:lang w:val="fr-FR" w:eastAsia="fr-FR"/>
        </w:rPr>
        <w:t>-</w:t>
      </w:r>
      <w:r>
        <w:rPr>
          <w:rFonts w:ascii="Calibri" w:hAnsi="Calibri" w:cs="Calibri"/>
          <w:i/>
          <w:lang w:val="fr-FR" w:eastAsia="fr-FR"/>
        </w:rPr>
        <w:tab/>
        <w:t>« </w:t>
      </w:r>
      <w:r w:rsidRPr="00DC3311">
        <w:rPr>
          <w:rFonts w:ascii="Calibri" w:hAnsi="Calibri" w:cs="Calibri"/>
          <w:i/>
          <w:lang w:val="fr-FR" w:eastAsia="fr-FR"/>
        </w:rPr>
        <w:t>§ 1er. En cas d'incapacité temporaire de travail égale ou supérieure à 30 jours calendrier, la victime est d'office convoquée auprès du service médical afin de déterminer le pourcentage d'incapacité permanente, et le cas échéant, le pourcentage de l'aide d'une tierce personne.</w:t>
      </w:r>
    </w:p>
    <w:p w14:paraId="60547AD0" w14:textId="77777777" w:rsidR="000237D0" w:rsidRPr="00DC3311" w:rsidRDefault="000237D0" w:rsidP="000237D0">
      <w:pPr>
        <w:ind w:left="720"/>
        <w:jc w:val="both"/>
        <w:rPr>
          <w:rFonts w:ascii="Calibri" w:hAnsi="Calibri" w:cs="Calibri"/>
          <w:i/>
          <w:lang w:val="fr-FR" w:eastAsia="fr-FR"/>
        </w:rPr>
      </w:pPr>
      <w:r w:rsidRPr="00DC3311">
        <w:rPr>
          <w:rFonts w:ascii="Calibri" w:hAnsi="Calibri" w:cs="Calibri"/>
          <w:i/>
          <w:lang w:val="fr-FR" w:eastAsia="fr-FR"/>
        </w:rPr>
        <w:br/>
        <w:t>§ 2. En cas d'incapacité temporaire de travail inférieure à 30 jours calendrier, si la victime fait parvenir un certificat médical de guérison sans incapacité permanente de travail, l'autorité notifie, par lettre recommandée, une décision de déclaration de guérison sans incapacité permanente de travail. Le certificat médical de guérison est rédigé par le médecin consulté par la victime, suivant le modèle fixé en annexe 4 du présent arrêté.</w:t>
      </w:r>
    </w:p>
    <w:p w14:paraId="23F8699C" w14:textId="77777777" w:rsidR="000237D0" w:rsidRPr="00DC3311" w:rsidRDefault="000237D0" w:rsidP="000237D0">
      <w:pPr>
        <w:ind w:left="720"/>
        <w:jc w:val="both"/>
        <w:rPr>
          <w:rFonts w:ascii="Calibri" w:hAnsi="Calibri" w:cs="Calibri"/>
          <w:i/>
          <w:lang w:val="fr-FR" w:eastAsia="fr-FR"/>
        </w:rPr>
      </w:pPr>
      <w:r w:rsidRPr="00DC3311">
        <w:rPr>
          <w:rFonts w:ascii="Calibri" w:hAnsi="Calibri" w:cs="Calibri"/>
          <w:i/>
          <w:lang w:val="fr-FR" w:eastAsia="fr-FR"/>
        </w:rPr>
        <w:br/>
        <w:t>Si la victime ne fait pas parvenir le certificat médical de guérison visé à l'alinéa 1er car elle estime, sur la base d'un rapport médical rédigé par le médecin qu'elle a consulté, souffrir d'une incapacité permanente, elle est convoquée auprès du service médical.</w:t>
      </w:r>
    </w:p>
    <w:p w14:paraId="0BF85CAB" w14:textId="77777777" w:rsidR="000237D0" w:rsidRPr="00DC3311" w:rsidRDefault="000237D0" w:rsidP="000237D0">
      <w:pPr>
        <w:ind w:left="720"/>
        <w:jc w:val="both"/>
        <w:rPr>
          <w:rFonts w:ascii="Calibri" w:hAnsi="Calibri" w:cs="Calibri"/>
          <w:i/>
          <w:lang w:val="fr-FR" w:eastAsia="fr-FR"/>
        </w:rPr>
      </w:pPr>
      <w:r w:rsidRPr="00DC3311">
        <w:rPr>
          <w:rFonts w:ascii="Calibri" w:hAnsi="Calibri" w:cs="Calibri"/>
          <w:i/>
          <w:lang w:val="fr-FR" w:eastAsia="fr-FR"/>
        </w:rPr>
        <w:br/>
        <w:t>§ 3. Le service médical notifie à l'autorité sa décision qui consiste soit en l'attribution d'un pourcentage d'incapacité permanente, soit en une guérison sans incapacité permanente.</w:t>
      </w:r>
    </w:p>
    <w:p w14:paraId="5207BB2D" w14:textId="42D50A96" w:rsidR="000237D0" w:rsidRPr="00DC3311" w:rsidRDefault="000237D0" w:rsidP="000237D0">
      <w:pPr>
        <w:ind w:left="720"/>
        <w:jc w:val="both"/>
        <w:rPr>
          <w:rFonts w:ascii="Calibri" w:hAnsi="Calibri" w:cs="Calibri"/>
          <w:i/>
          <w:lang w:val="fr-FR" w:eastAsia="fr-FR"/>
        </w:rPr>
      </w:pPr>
      <w:r w:rsidRPr="00DC3311">
        <w:rPr>
          <w:rFonts w:ascii="Calibri" w:hAnsi="Calibri" w:cs="Calibri"/>
          <w:i/>
          <w:lang w:val="fr-FR" w:eastAsia="fr-FR"/>
        </w:rPr>
        <w:lastRenderedPageBreak/>
        <w:br/>
        <w:t xml:space="preserve">Lorsque l'accident entraîne un pourcentage d'incapacité permanente, l'autorité vérifie si les conditions d'octroi des indemnités sont </w:t>
      </w:r>
      <w:r w:rsidR="00206FDD" w:rsidRPr="00DC3311">
        <w:rPr>
          <w:rFonts w:ascii="Calibri" w:hAnsi="Calibri" w:cs="Calibri"/>
          <w:i/>
          <w:lang w:val="fr-FR" w:eastAsia="fr-FR"/>
        </w:rPr>
        <w:t>réunies ;</w:t>
      </w:r>
      <w:r w:rsidRPr="00DC3311">
        <w:rPr>
          <w:rFonts w:ascii="Calibri" w:hAnsi="Calibri" w:cs="Calibri"/>
          <w:i/>
          <w:lang w:val="fr-FR" w:eastAsia="fr-FR"/>
        </w:rPr>
        <w:t xml:space="preserve"> elle examine les éléments du dommage subi, apprécie s'il y a lieu d'augmenter le pourcentage d'incapacité permanente fixé par le service médical, et propose à la victime ou à ses ayants droit le paiement d'une rente. Cette proposition mentionne la rémunération servant de base au calcul de la rente, la nature de la lésion, la réduction de capacité et la date de consolidation.</w:t>
      </w:r>
    </w:p>
    <w:p w14:paraId="0DA489E3" w14:textId="77777777" w:rsidR="000237D0" w:rsidRPr="00C04F90" w:rsidRDefault="000237D0" w:rsidP="000237D0">
      <w:pPr>
        <w:ind w:left="720"/>
        <w:jc w:val="both"/>
        <w:rPr>
          <w:rFonts w:ascii="Calibri" w:hAnsi="Calibri" w:cs="Calibri"/>
          <w:lang w:val="fr-FR" w:eastAsia="fr-FR"/>
        </w:rPr>
      </w:pPr>
      <w:r w:rsidRPr="00DC3311">
        <w:rPr>
          <w:rFonts w:ascii="Calibri" w:hAnsi="Calibri" w:cs="Calibri"/>
          <w:i/>
          <w:lang w:val="fr-FR" w:eastAsia="fr-FR"/>
        </w:rPr>
        <w:br/>
        <w:t>Lorsqu'il apparaît que l'accident n'entraîne pas un pourcentage d'incapacité permanente, l'autorité notifie, par lettre recommandée, une décision de déclaration de guérison sans incapacité permanente de travail.</w:t>
      </w:r>
      <w:r>
        <w:rPr>
          <w:rFonts w:ascii="Calibri" w:hAnsi="Calibri" w:cs="Calibri"/>
          <w:i/>
          <w:lang w:val="fr-FR" w:eastAsia="fr-FR"/>
        </w:rPr>
        <w:t> »</w:t>
      </w:r>
      <w:r>
        <w:rPr>
          <w:rFonts w:ascii="Calibri" w:hAnsi="Calibri" w:cs="Calibri"/>
          <w:lang w:val="fr-FR" w:eastAsia="fr-FR"/>
        </w:rPr>
        <w:t xml:space="preserve"> (article 9)</w:t>
      </w:r>
    </w:p>
    <w:p w14:paraId="7C4A8973" w14:textId="77777777" w:rsidR="000237D0" w:rsidRDefault="000237D0" w:rsidP="000237D0">
      <w:pPr>
        <w:tabs>
          <w:tab w:val="left" w:pos="1985"/>
        </w:tabs>
        <w:rPr>
          <w:rFonts w:ascii="Calibri" w:hAnsi="Calibri"/>
          <w:b/>
          <w:highlight w:val="yellow"/>
        </w:rPr>
      </w:pPr>
    </w:p>
    <w:p w14:paraId="4607551A" w14:textId="31C93327" w:rsidR="008915B0" w:rsidRDefault="008915B0" w:rsidP="000237D0">
      <w:pPr>
        <w:tabs>
          <w:tab w:val="left" w:pos="1985"/>
        </w:tabs>
        <w:jc w:val="both"/>
        <w:rPr>
          <w:rFonts w:ascii="Calibri" w:hAnsi="Calibri"/>
        </w:rPr>
      </w:pPr>
      <w:r>
        <w:rPr>
          <w:rFonts w:ascii="Calibri" w:hAnsi="Calibri"/>
        </w:rPr>
        <w:t>L</w:t>
      </w:r>
      <w:r w:rsidR="000237D0" w:rsidRPr="00836AA9">
        <w:rPr>
          <w:rFonts w:ascii="Calibri" w:hAnsi="Calibri"/>
        </w:rPr>
        <w:t>a Cour de cassation n’a pas encore eu l’occasion de se prononcer sur ces dispositions</w:t>
      </w:r>
      <w:r w:rsidR="00206FDD">
        <w:rPr>
          <w:rFonts w:ascii="Calibri" w:hAnsi="Calibri"/>
        </w:rPr>
        <w:t xml:space="preserve"> (nouvelle version de l’article 8)</w:t>
      </w:r>
      <w:r w:rsidR="000237D0" w:rsidRPr="00836AA9">
        <w:rPr>
          <w:rFonts w:ascii="Calibri" w:hAnsi="Calibri"/>
        </w:rPr>
        <w:t xml:space="preserve"> et sur les éventuelles nouvelles interprétations susceptibles d’en découler</w:t>
      </w:r>
      <w:r w:rsidR="000237D0">
        <w:rPr>
          <w:rFonts w:ascii="Calibri" w:hAnsi="Calibri"/>
        </w:rPr>
        <w:t xml:space="preserve"> quant au caractère contraignant ou non des décisions du service médical</w:t>
      </w:r>
      <w:r w:rsidR="000237D0" w:rsidRPr="00836AA9">
        <w:rPr>
          <w:rFonts w:ascii="Calibri" w:hAnsi="Calibri"/>
        </w:rPr>
        <w:t xml:space="preserve">. </w:t>
      </w:r>
    </w:p>
    <w:p w14:paraId="3CD064C7" w14:textId="77777777" w:rsidR="008915B0" w:rsidRDefault="008915B0" w:rsidP="000237D0">
      <w:pPr>
        <w:tabs>
          <w:tab w:val="left" w:pos="1985"/>
        </w:tabs>
        <w:jc w:val="both"/>
        <w:rPr>
          <w:rFonts w:ascii="Calibri" w:hAnsi="Calibri"/>
        </w:rPr>
      </w:pPr>
    </w:p>
    <w:p w14:paraId="474CA6E9" w14:textId="278198A1" w:rsidR="000237D0" w:rsidRDefault="00206FDD" w:rsidP="000237D0">
      <w:pPr>
        <w:tabs>
          <w:tab w:val="left" w:pos="1985"/>
        </w:tabs>
        <w:jc w:val="both"/>
        <w:rPr>
          <w:rFonts w:ascii="Calibri" w:hAnsi="Calibri"/>
        </w:rPr>
      </w:pPr>
      <w:r>
        <w:rPr>
          <w:rFonts w:ascii="Calibri" w:hAnsi="Calibri"/>
        </w:rPr>
        <w:t>Toutefois selon</w:t>
      </w:r>
      <w:r w:rsidR="00AD72E3">
        <w:rPr>
          <w:rFonts w:ascii="Calibri" w:hAnsi="Calibri"/>
        </w:rPr>
        <w:t xml:space="preserve"> la doctrine la modification de l’article </w:t>
      </w:r>
      <w:r>
        <w:rPr>
          <w:rFonts w:ascii="Calibri" w:hAnsi="Calibri"/>
        </w:rPr>
        <w:t>8</w:t>
      </w:r>
      <w:r w:rsidR="00AD72E3">
        <w:rPr>
          <w:rFonts w:ascii="Calibri" w:hAnsi="Calibri"/>
        </w:rPr>
        <w:t xml:space="preserve"> implique que c’est l’ensemble des constatations du service médical qui constitue des décisions ayant une valeur contraignante, ainsi :</w:t>
      </w:r>
    </w:p>
    <w:p w14:paraId="67054A52" w14:textId="77777777" w:rsidR="00AD72E3" w:rsidRDefault="00AD72E3" w:rsidP="000237D0">
      <w:pPr>
        <w:tabs>
          <w:tab w:val="left" w:pos="1985"/>
        </w:tabs>
        <w:jc w:val="both"/>
        <w:rPr>
          <w:rFonts w:ascii="Calibri" w:hAnsi="Calibri"/>
        </w:rPr>
      </w:pPr>
    </w:p>
    <w:p w14:paraId="62AC260A" w14:textId="21CBA97E" w:rsidR="000237D0" w:rsidRDefault="00D90C91" w:rsidP="000237D0">
      <w:pPr>
        <w:widowControl/>
        <w:numPr>
          <w:ilvl w:val="0"/>
          <w:numId w:val="8"/>
        </w:numPr>
        <w:suppressAutoHyphens w:val="0"/>
        <w:autoSpaceDN/>
        <w:jc w:val="both"/>
        <w:textAlignment w:val="auto"/>
        <w:rPr>
          <w:rFonts w:ascii="Calibri" w:hAnsi="Calibri"/>
        </w:rPr>
      </w:pPr>
      <w:r>
        <w:rPr>
          <w:rFonts w:ascii="Calibri" w:hAnsi="Calibri"/>
        </w:rPr>
        <w:t>D’après</w:t>
      </w:r>
      <w:r w:rsidR="000237D0">
        <w:rPr>
          <w:rFonts w:ascii="Calibri" w:hAnsi="Calibri"/>
        </w:rPr>
        <w:t xml:space="preserve"> F. </w:t>
      </w:r>
      <w:r w:rsidR="008915B0">
        <w:rPr>
          <w:rFonts w:ascii="Calibri" w:hAnsi="Calibri"/>
        </w:rPr>
        <w:t>LAM</w:t>
      </w:r>
      <w:r w:rsidR="000237D0">
        <w:rPr>
          <w:rFonts w:ascii="Calibri" w:hAnsi="Calibri"/>
        </w:rPr>
        <w:t xml:space="preserve">BRECHT (F. LAMBRECHT, </w:t>
      </w:r>
      <w:r w:rsidR="000237D0">
        <w:rPr>
          <w:rFonts w:ascii="Calibri" w:hAnsi="Calibri"/>
          <w:i/>
        </w:rPr>
        <w:t>La déclaration, la procédure administrative et la procédure en révision</w:t>
      </w:r>
      <w:r w:rsidR="000237D0">
        <w:rPr>
          <w:rFonts w:ascii="Calibri" w:hAnsi="Calibri"/>
        </w:rPr>
        <w:t xml:space="preserve">, dans </w:t>
      </w:r>
      <w:r w:rsidR="000237D0">
        <w:rPr>
          <w:rFonts w:ascii="Calibri" w:hAnsi="Calibri"/>
          <w:i/>
        </w:rPr>
        <w:t>Les accidents du travail dans le secteur public</w:t>
      </w:r>
      <w:r w:rsidR="000237D0">
        <w:rPr>
          <w:rFonts w:ascii="Calibri" w:hAnsi="Calibri"/>
        </w:rPr>
        <w:t xml:space="preserve">, 2015, </w:t>
      </w:r>
      <w:proofErr w:type="spellStart"/>
      <w:r w:rsidR="000237D0">
        <w:rPr>
          <w:rFonts w:ascii="Calibri" w:hAnsi="Calibri"/>
        </w:rPr>
        <w:t>Limal</w:t>
      </w:r>
      <w:proofErr w:type="spellEnd"/>
      <w:r w:rsidR="000237D0">
        <w:rPr>
          <w:rFonts w:ascii="Calibri" w:hAnsi="Calibri"/>
        </w:rPr>
        <w:t>, Anthémis, p. 130):</w:t>
      </w:r>
    </w:p>
    <w:p w14:paraId="013C2EF8" w14:textId="77777777" w:rsidR="000237D0" w:rsidRDefault="000237D0" w:rsidP="000237D0">
      <w:pPr>
        <w:ind w:left="720"/>
        <w:jc w:val="both"/>
        <w:rPr>
          <w:rFonts w:ascii="Calibri" w:hAnsi="Calibri"/>
        </w:rPr>
      </w:pPr>
    </w:p>
    <w:p w14:paraId="7CE291B1" w14:textId="3DCBACEF" w:rsidR="000237D0" w:rsidRDefault="000237D0" w:rsidP="000237D0">
      <w:pPr>
        <w:ind w:left="720"/>
        <w:jc w:val="both"/>
        <w:rPr>
          <w:rFonts w:ascii="Calibri" w:hAnsi="Calibri"/>
          <w:i/>
        </w:rPr>
      </w:pPr>
      <w:r>
        <w:rPr>
          <w:rFonts w:ascii="Calibri" w:hAnsi="Calibri"/>
          <w:i/>
        </w:rPr>
        <w:t>« 14.2. D’autre part, il subsistait, jusqu’il y a peu, une discussion quant à savoir si la décision du service médical prononcée dans le cadre de l’arrêté royal du 13 juillet 1970 liait l’autorité en ce qui concerne l’appréciation du lien causal entre l’accident et les lésions. La formulation de l’article 8 de l’arrêté royal du 13 juillet 1970, où il était question d’</w:t>
      </w:r>
      <w:r w:rsidR="00FB3EBC">
        <w:rPr>
          <w:rFonts w:ascii="Calibri" w:hAnsi="Calibri"/>
          <w:i/>
        </w:rPr>
        <w:t> « </w:t>
      </w:r>
      <w:r>
        <w:rPr>
          <w:rFonts w:ascii="Calibri" w:hAnsi="Calibri"/>
          <w:i/>
        </w:rPr>
        <w:t>appréciation</w:t>
      </w:r>
      <w:r w:rsidR="00FB3EBC">
        <w:rPr>
          <w:rFonts w:ascii="Calibri" w:hAnsi="Calibri"/>
          <w:i/>
        </w:rPr>
        <w:t> »</w:t>
      </w:r>
      <w:r>
        <w:rPr>
          <w:rFonts w:ascii="Calibri" w:hAnsi="Calibri"/>
          <w:i/>
        </w:rPr>
        <w:t xml:space="preserve"> du lien causal entre l’accident et les lésions, mais de </w:t>
      </w:r>
      <w:r w:rsidR="00FB3EBC">
        <w:rPr>
          <w:rFonts w:ascii="Calibri" w:hAnsi="Calibri"/>
          <w:i/>
        </w:rPr>
        <w:t>« </w:t>
      </w:r>
      <w:r>
        <w:rPr>
          <w:rFonts w:ascii="Calibri" w:hAnsi="Calibri"/>
          <w:i/>
        </w:rPr>
        <w:t>décision</w:t>
      </w:r>
      <w:r w:rsidR="00FB3EBC">
        <w:rPr>
          <w:rFonts w:ascii="Calibri" w:hAnsi="Calibri"/>
          <w:i/>
        </w:rPr>
        <w:t> »</w:t>
      </w:r>
      <w:r>
        <w:rPr>
          <w:rFonts w:ascii="Calibri" w:hAnsi="Calibri"/>
          <w:i/>
        </w:rPr>
        <w:t xml:space="preserve"> pour la détermination du taux d’incapacité permanente, laissait en effet une place à l’interprétation.</w:t>
      </w:r>
    </w:p>
    <w:p w14:paraId="1AFC3CF3" w14:textId="77777777" w:rsidR="000237D0" w:rsidRDefault="000237D0" w:rsidP="000237D0">
      <w:pPr>
        <w:ind w:left="720"/>
        <w:jc w:val="both"/>
        <w:rPr>
          <w:rFonts w:ascii="Calibri" w:hAnsi="Calibri"/>
          <w:i/>
        </w:rPr>
      </w:pPr>
    </w:p>
    <w:p w14:paraId="59BAE8DA" w14:textId="77777777" w:rsidR="000237D0" w:rsidRDefault="000237D0" w:rsidP="000237D0">
      <w:pPr>
        <w:ind w:left="720"/>
        <w:jc w:val="both"/>
        <w:rPr>
          <w:rFonts w:ascii="Calibri" w:hAnsi="Calibri"/>
          <w:i/>
        </w:rPr>
      </w:pPr>
      <w:r>
        <w:rPr>
          <w:rFonts w:ascii="Calibri" w:hAnsi="Calibri"/>
          <w:i/>
        </w:rPr>
        <w:t>Suite à l’entrée en vigueur, le 1</w:t>
      </w:r>
      <w:r w:rsidRPr="00133E44">
        <w:rPr>
          <w:rFonts w:ascii="Calibri" w:hAnsi="Calibri"/>
          <w:i/>
          <w:vertAlign w:val="superscript"/>
        </w:rPr>
        <w:t>er</w:t>
      </w:r>
      <w:r>
        <w:rPr>
          <w:rFonts w:ascii="Calibri" w:hAnsi="Calibri"/>
          <w:i/>
        </w:rPr>
        <w:t xml:space="preserve"> juillet 2014, de l’arrêté royal du 8 mai 2014, l’article 8 de l’arrêté royal du 13 juillet 1970 a été modifié. Dorénavant, le service médical est désigné pour ‘vérifier’ le lien causal entre l’accident et les lésions, ‘établir’ le lien causal entre l’accident et les périodes d’incapacité de travail et ‘fixer’ la date de consolidation, le pourcentage d’incapacité permanente et de l’aide d’une tierce personne ; le service médical notifie ses ‘décisions’ à l’autorité. Cette nouvelle formulation clôt selon nous la discussion : l’article 8 dispose expressément que l’ensemble des constatations du service médical constitue des ‘décisions’.</w:t>
      </w:r>
    </w:p>
    <w:p w14:paraId="7283E456" w14:textId="77777777" w:rsidR="000237D0" w:rsidRDefault="000237D0" w:rsidP="000237D0">
      <w:pPr>
        <w:ind w:left="720"/>
        <w:jc w:val="both"/>
        <w:rPr>
          <w:rFonts w:ascii="Calibri" w:hAnsi="Calibri"/>
          <w:i/>
        </w:rPr>
      </w:pPr>
    </w:p>
    <w:p w14:paraId="48DB9BB9" w14:textId="77777777" w:rsidR="000237D0" w:rsidRPr="00836AA9" w:rsidRDefault="000237D0" w:rsidP="000237D0">
      <w:pPr>
        <w:ind w:left="720"/>
        <w:jc w:val="both"/>
        <w:rPr>
          <w:rFonts w:ascii="Calibri" w:hAnsi="Calibri"/>
          <w:i/>
        </w:rPr>
      </w:pPr>
      <w:r>
        <w:rPr>
          <w:rFonts w:ascii="Calibri" w:hAnsi="Calibri"/>
          <w:i/>
        </w:rPr>
        <w:t xml:space="preserve">14.3. La date de consolidation déterminée par le </w:t>
      </w:r>
      <w:proofErr w:type="spellStart"/>
      <w:r>
        <w:rPr>
          <w:rFonts w:ascii="Calibri" w:hAnsi="Calibri"/>
          <w:i/>
        </w:rPr>
        <w:t>Medex</w:t>
      </w:r>
      <w:proofErr w:type="spellEnd"/>
      <w:r>
        <w:rPr>
          <w:rFonts w:ascii="Calibri" w:hAnsi="Calibri"/>
          <w:i/>
        </w:rPr>
        <w:t xml:space="preserve"> ou par le service médical lie également l’autorité, et, le cas échéant, les juridictions du travail. »</w:t>
      </w:r>
    </w:p>
    <w:p w14:paraId="2BF1D203" w14:textId="77777777" w:rsidR="000237D0" w:rsidRDefault="000237D0" w:rsidP="000237D0">
      <w:pPr>
        <w:tabs>
          <w:tab w:val="left" w:pos="1985"/>
        </w:tabs>
        <w:jc w:val="both"/>
        <w:rPr>
          <w:rFonts w:ascii="Calibri" w:hAnsi="Calibri"/>
        </w:rPr>
      </w:pPr>
    </w:p>
    <w:p w14:paraId="771293B4" w14:textId="2476771A" w:rsidR="000237D0" w:rsidRDefault="00D90C91" w:rsidP="000237D0">
      <w:pPr>
        <w:widowControl/>
        <w:numPr>
          <w:ilvl w:val="0"/>
          <w:numId w:val="8"/>
        </w:numPr>
        <w:suppressAutoHyphens w:val="0"/>
        <w:autoSpaceDN/>
        <w:jc w:val="both"/>
        <w:textAlignment w:val="auto"/>
        <w:rPr>
          <w:rFonts w:ascii="Calibri" w:hAnsi="Calibri"/>
        </w:rPr>
      </w:pPr>
      <w:r>
        <w:rPr>
          <w:rFonts w:ascii="Calibri" w:hAnsi="Calibri"/>
        </w:rPr>
        <w:lastRenderedPageBreak/>
        <w:t>D’après</w:t>
      </w:r>
      <w:r w:rsidR="000237D0">
        <w:rPr>
          <w:rFonts w:ascii="Calibri" w:hAnsi="Calibri"/>
        </w:rPr>
        <w:t xml:space="preserve"> S. REMOUCHAMPS (S. REMOUCHAMPS, </w:t>
      </w:r>
      <w:r w:rsidR="000237D0">
        <w:rPr>
          <w:rFonts w:ascii="Calibri" w:hAnsi="Calibri"/>
          <w:i/>
        </w:rPr>
        <w:t xml:space="preserve">Le rôle du </w:t>
      </w:r>
      <w:proofErr w:type="spellStart"/>
      <w:r w:rsidR="000237D0">
        <w:rPr>
          <w:rFonts w:ascii="Calibri" w:hAnsi="Calibri"/>
          <w:i/>
        </w:rPr>
        <w:t>Medex</w:t>
      </w:r>
      <w:proofErr w:type="spellEnd"/>
      <w:r w:rsidR="000237D0">
        <w:rPr>
          <w:rFonts w:ascii="Calibri" w:hAnsi="Calibri"/>
        </w:rPr>
        <w:t xml:space="preserve">, dans </w:t>
      </w:r>
      <w:r w:rsidR="000237D0">
        <w:rPr>
          <w:rFonts w:ascii="Calibri" w:hAnsi="Calibri"/>
          <w:i/>
        </w:rPr>
        <w:t>Les accidents du travail dans le secteur public</w:t>
      </w:r>
      <w:r w:rsidR="000237D0">
        <w:rPr>
          <w:rFonts w:ascii="Calibri" w:hAnsi="Calibri"/>
        </w:rPr>
        <w:t xml:space="preserve">, 2015, </w:t>
      </w:r>
      <w:proofErr w:type="spellStart"/>
      <w:r w:rsidR="000237D0">
        <w:rPr>
          <w:rFonts w:ascii="Calibri" w:hAnsi="Calibri"/>
        </w:rPr>
        <w:t>Limal</w:t>
      </w:r>
      <w:proofErr w:type="spellEnd"/>
      <w:r w:rsidR="000237D0">
        <w:rPr>
          <w:rFonts w:ascii="Calibri" w:hAnsi="Calibri"/>
        </w:rPr>
        <w:t>, Anthémis, p. 271):</w:t>
      </w:r>
    </w:p>
    <w:p w14:paraId="1EB95FB2" w14:textId="77777777" w:rsidR="000237D0" w:rsidRDefault="000237D0" w:rsidP="000237D0">
      <w:pPr>
        <w:tabs>
          <w:tab w:val="left" w:pos="1985"/>
        </w:tabs>
        <w:jc w:val="both"/>
        <w:rPr>
          <w:rFonts w:ascii="Calibri" w:hAnsi="Calibri"/>
        </w:rPr>
      </w:pPr>
    </w:p>
    <w:p w14:paraId="4898FA84" w14:textId="77777777" w:rsidR="000237D0" w:rsidRDefault="000237D0" w:rsidP="000237D0">
      <w:pPr>
        <w:tabs>
          <w:tab w:val="left" w:pos="1985"/>
        </w:tabs>
        <w:ind w:left="709"/>
        <w:jc w:val="both"/>
        <w:rPr>
          <w:rFonts w:ascii="Calibri" w:hAnsi="Calibri"/>
          <w:i/>
        </w:rPr>
      </w:pPr>
      <w:r>
        <w:rPr>
          <w:rFonts w:ascii="Calibri" w:hAnsi="Calibri"/>
          <w:i/>
        </w:rPr>
        <w:t>« Signalons enfin que le raisonnement développé par la Cour de cassation dans son arrêt de principe du 7 février 2000 s’applique à l’ensemble des aspects médicaux déférés au service. Si, par le passé, la Cour suprême a pu estimer que les aspects médicaux déférés au service médical étaient limités à l’incapacité permanente, la nouvelle formulation des articles 8 ne prête plus à discussion. Le service médical est chargé de se prononcer sur les lésions qui donnent lieu à la réparation, l’imputabilité de l’incapacité temporaire, la date de consolidation, le pourcentage de l’incapacité permanente et celui de l’aide de tiers. Sur l’ensemble de ces aspects, sa décision est contraignante. »</w:t>
      </w:r>
    </w:p>
    <w:p w14:paraId="2FCF8567" w14:textId="77777777" w:rsidR="000237D0" w:rsidRDefault="000237D0" w:rsidP="000237D0">
      <w:pPr>
        <w:tabs>
          <w:tab w:val="left" w:pos="1985"/>
        </w:tabs>
        <w:jc w:val="both"/>
        <w:rPr>
          <w:rFonts w:ascii="Calibri" w:hAnsi="Calibri"/>
          <w:i/>
        </w:rPr>
      </w:pPr>
    </w:p>
    <w:p w14:paraId="79A42B3F" w14:textId="77777777" w:rsidR="00997EA5" w:rsidRPr="00997EA5" w:rsidRDefault="00997EA5" w:rsidP="00997EA5">
      <w:pPr>
        <w:jc w:val="both"/>
        <w:rPr>
          <w:rFonts w:asciiTheme="minorHAnsi" w:hAnsiTheme="minorHAnsi" w:cstheme="minorHAnsi"/>
          <w:iCs/>
          <w:lang w:val="fr-FR" w:eastAsia="fr-FR"/>
        </w:rPr>
      </w:pPr>
    </w:p>
    <w:p w14:paraId="77A894D6" w14:textId="20ACA048" w:rsidR="00997EA5" w:rsidRDefault="00AD72E3" w:rsidP="00997EA5">
      <w:pPr>
        <w:jc w:val="both"/>
        <w:rPr>
          <w:rFonts w:asciiTheme="minorHAnsi" w:hAnsiTheme="minorHAnsi" w:cstheme="minorHAnsi"/>
          <w:lang w:val="fr-FR" w:eastAsia="fr-FR"/>
        </w:rPr>
      </w:pPr>
      <w:r w:rsidRPr="00AD72E3">
        <w:rPr>
          <w:rFonts w:asciiTheme="minorHAnsi" w:hAnsiTheme="minorHAnsi" w:cstheme="minorHAnsi"/>
          <w:lang w:val="fr-FR" w:eastAsia="fr-FR"/>
        </w:rPr>
        <w:t>Le tribunal</w:t>
      </w:r>
      <w:r>
        <w:rPr>
          <w:rFonts w:asciiTheme="minorHAnsi" w:hAnsiTheme="minorHAnsi" w:cstheme="minorHAnsi"/>
          <w:lang w:val="fr-FR" w:eastAsia="fr-FR"/>
        </w:rPr>
        <w:t xml:space="preserve"> partage cette position.</w:t>
      </w:r>
    </w:p>
    <w:p w14:paraId="198DBBE8" w14:textId="6D6E6D46" w:rsidR="00AD72E3" w:rsidRDefault="00AD72E3" w:rsidP="00997EA5">
      <w:pPr>
        <w:jc w:val="both"/>
        <w:rPr>
          <w:rFonts w:asciiTheme="minorHAnsi" w:hAnsiTheme="minorHAnsi" w:cstheme="minorHAnsi"/>
          <w:lang w:val="fr-FR" w:eastAsia="fr-FR"/>
        </w:rPr>
      </w:pPr>
    </w:p>
    <w:p w14:paraId="406306E6" w14:textId="094D3902" w:rsidR="00AD72E3" w:rsidRDefault="00AD72E3" w:rsidP="00997EA5">
      <w:pPr>
        <w:jc w:val="both"/>
        <w:rPr>
          <w:rFonts w:asciiTheme="minorHAnsi" w:hAnsiTheme="minorHAnsi" w:cstheme="minorHAnsi"/>
          <w:lang w:val="fr-FR" w:eastAsia="fr-FR"/>
        </w:rPr>
      </w:pPr>
      <w:r>
        <w:rPr>
          <w:rFonts w:asciiTheme="minorHAnsi" w:hAnsiTheme="minorHAnsi" w:cstheme="minorHAnsi"/>
          <w:lang w:val="fr-FR" w:eastAsia="fr-FR"/>
        </w:rPr>
        <w:t xml:space="preserve">Si le législateur a estimé devoir modifier l’article </w:t>
      </w:r>
      <w:r w:rsidR="00206FDD">
        <w:rPr>
          <w:rFonts w:asciiTheme="minorHAnsi" w:hAnsiTheme="minorHAnsi" w:cstheme="minorHAnsi"/>
          <w:lang w:val="fr-FR" w:eastAsia="fr-FR"/>
        </w:rPr>
        <w:t>8</w:t>
      </w:r>
      <w:r>
        <w:rPr>
          <w:rFonts w:asciiTheme="minorHAnsi" w:hAnsiTheme="minorHAnsi" w:cstheme="minorHAnsi"/>
          <w:lang w:val="fr-FR" w:eastAsia="fr-FR"/>
        </w:rPr>
        <w:t xml:space="preserve"> en indiquant que le service médical est chargé de </w:t>
      </w:r>
      <w:r w:rsidRPr="00D90C91">
        <w:rPr>
          <w:rFonts w:asciiTheme="minorHAnsi" w:hAnsiTheme="minorHAnsi" w:cstheme="minorHAnsi"/>
          <w:u w:val="single"/>
          <w:lang w:val="fr-FR" w:eastAsia="fr-FR"/>
        </w:rPr>
        <w:t>vérifier</w:t>
      </w:r>
      <w:r>
        <w:rPr>
          <w:rFonts w:asciiTheme="minorHAnsi" w:hAnsiTheme="minorHAnsi" w:cstheme="minorHAnsi"/>
          <w:lang w:val="fr-FR" w:eastAsia="fr-FR"/>
        </w:rPr>
        <w:t xml:space="preserve"> le lien de causalité entre l’accident du travail et les lésions et </w:t>
      </w:r>
      <w:r w:rsidR="00206FDD" w:rsidRPr="00D90C91">
        <w:rPr>
          <w:rFonts w:asciiTheme="minorHAnsi" w:hAnsiTheme="minorHAnsi" w:cstheme="minorHAnsi"/>
          <w:u w:val="single"/>
          <w:lang w:val="fr-FR" w:eastAsia="fr-FR"/>
        </w:rPr>
        <w:t>d’</w:t>
      </w:r>
      <w:r>
        <w:rPr>
          <w:rFonts w:asciiTheme="minorHAnsi" w:hAnsiTheme="minorHAnsi" w:cstheme="minorHAnsi"/>
          <w:lang w:val="fr-FR" w:eastAsia="fr-FR"/>
        </w:rPr>
        <w:t xml:space="preserve"> </w:t>
      </w:r>
      <w:r w:rsidRPr="00D90C91">
        <w:rPr>
          <w:rFonts w:asciiTheme="minorHAnsi" w:hAnsiTheme="minorHAnsi" w:cstheme="minorHAnsi"/>
          <w:u w:val="single"/>
          <w:lang w:val="fr-FR" w:eastAsia="fr-FR"/>
        </w:rPr>
        <w:t>établir</w:t>
      </w:r>
      <w:r>
        <w:rPr>
          <w:rFonts w:asciiTheme="minorHAnsi" w:hAnsiTheme="minorHAnsi" w:cstheme="minorHAnsi"/>
          <w:lang w:val="fr-FR" w:eastAsia="fr-FR"/>
        </w:rPr>
        <w:t xml:space="preserve"> le lien de causalité entre l’accident du travail et les périodes d’incapacité de travail ainsi que pour fixer la date de consolidation et le pourcentage d’incapacité, c’est très certainement pour éviter qu’il n’y ait de</w:t>
      </w:r>
      <w:r w:rsidR="00D90C91">
        <w:rPr>
          <w:rFonts w:asciiTheme="minorHAnsi" w:hAnsiTheme="minorHAnsi" w:cstheme="minorHAnsi"/>
          <w:lang w:val="fr-FR" w:eastAsia="fr-FR"/>
        </w:rPr>
        <w:t>s</w:t>
      </w:r>
      <w:r>
        <w:rPr>
          <w:rFonts w:asciiTheme="minorHAnsi" w:hAnsiTheme="minorHAnsi" w:cstheme="minorHAnsi"/>
          <w:lang w:val="fr-FR" w:eastAsia="fr-FR"/>
        </w:rPr>
        <w:t xml:space="preserve"> litige</w:t>
      </w:r>
      <w:r w:rsidR="00D90C91">
        <w:rPr>
          <w:rFonts w:asciiTheme="minorHAnsi" w:hAnsiTheme="minorHAnsi" w:cstheme="minorHAnsi"/>
          <w:lang w:val="fr-FR" w:eastAsia="fr-FR"/>
        </w:rPr>
        <w:t>s,</w:t>
      </w:r>
      <w:r>
        <w:rPr>
          <w:rFonts w:asciiTheme="minorHAnsi" w:hAnsiTheme="minorHAnsi" w:cstheme="minorHAnsi"/>
          <w:lang w:val="fr-FR" w:eastAsia="fr-FR"/>
        </w:rPr>
        <w:t xml:space="preserve"> comme dans le présent dossier</w:t>
      </w:r>
      <w:r w:rsidR="00D90C91">
        <w:rPr>
          <w:rFonts w:asciiTheme="minorHAnsi" w:hAnsiTheme="minorHAnsi" w:cstheme="minorHAnsi"/>
          <w:lang w:val="fr-FR" w:eastAsia="fr-FR"/>
        </w:rPr>
        <w:t>,</w:t>
      </w:r>
      <w:r>
        <w:rPr>
          <w:rFonts w:asciiTheme="minorHAnsi" w:hAnsiTheme="minorHAnsi" w:cstheme="minorHAnsi"/>
          <w:lang w:val="fr-FR" w:eastAsia="fr-FR"/>
        </w:rPr>
        <w:t xml:space="preserve"> </w:t>
      </w:r>
      <w:r w:rsidR="00D90C91">
        <w:rPr>
          <w:rFonts w:asciiTheme="minorHAnsi" w:hAnsiTheme="minorHAnsi" w:cstheme="minorHAnsi"/>
          <w:lang w:val="fr-FR" w:eastAsia="fr-FR"/>
        </w:rPr>
        <w:t>à savoir</w:t>
      </w:r>
      <w:r>
        <w:rPr>
          <w:rFonts w:asciiTheme="minorHAnsi" w:hAnsiTheme="minorHAnsi" w:cstheme="minorHAnsi"/>
          <w:lang w:val="fr-FR" w:eastAsia="fr-FR"/>
        </w:rPr>
        <w:t xml:space="preserve"> qu’après que le MEDEX ait fixé un taux d’incapacité, il y ait une contestation quant au lien de causalité</w:t>
      </w:r>
      <w:r w:rsidR="00206FDD">
        <w:rPr>
          <w:rFonts w:asciiTheme="minorHAnsi" w:hAnsiTheme="minorHAnsi" w:cstheme="minorHAnsi"/>
          <w:lang w:val="fr-FR" w:eastAsia="fr-FR"/>
        </w:rPr>
        <w:t>.</w:t>
      </w:r>
    </w:p>
    <w:p w14:paraId="556BD73B" w14:textId="252CDB8F" w:rsidR="00AD72E3" w:rsidRDefault="00AD72E3" w:rsidP="00997EA5">
      <w:pPr>
        <w:jc w:val="both"/>
        <w:rPr>
          <w:rFonts w:asciiTheme="minorHAnsi" w:hAnsiTheme="minorHAnsi" w:cstheme="minorHAnsi"/>
          <w:lang w:val="fr-FR" w:eastAsia="fr-FR"/>
        </w:rPr>
      </w:pPr>
    </w:p>
    <w:p w14:paraId="2438D909" w14:textId="353DB1C7" w:rsidR="003E42C0" w:rsidRDefault="00206FDD" w:rsidP="00AD72E3">
      <w:pPr>
        <w:jc w:val="both"/>
        <w:rPr>
          <w:rFonts w:asciiTheme="minorHAnsi" w:hAnsiTheme="minorHAnsi" w:cstheme="minorHAnsi"/>
          <w:lang w:val="fr-FR" w:eastAsia="fr-FR"/>
        </w:rPr>
      </w:pPr>
      <w:r>
        <w:rPr>
          <w:rFonts w:asciiTheme="minorHAnsi" w:hAnsiTheme="minorHAnsi" w:cstheme="minorHAnsi"/>
          <w:lang w:val="fr-FR" w:eastAsia="fr-FR"/>
        </w:rPr>
        <w:t>I</w:t>
      </w:r>
      <w:r w:rsidR="00AD72E3">
        <w:rPr>
          <w:rFonts w:asciiTheme="minorHAnsi" w:hAnsiTheme="minorHAnsi" w:cstheme="minorHAnsi"/>
          <w:lang w:val="fr-FR" w:eastAsia="fr-FR"/>
        </w:rPr>
        <w:t>l n’apparaît pas logique que l’autorité soit liée par le taux d’incapacité permanente retenu par le MEDEX</w:t>
      </w:r>
      <w:r>
        <w:rPr>
          <w:rFonts w:asciiTheme="minorHAnsi" w:hAnsiTheme="minorHAnsi" w:cstheme="minorHAnsi"/>
          <w:lang w:val="fr-FR" w:eastAsia="fr-FR"/>
        </w:rPr>
        <w:t>,</w:t>
      </w:r>
      <w:r w:rsidR="00AD72E3">
        <w:rPr>
          <w:rFonts w:asciiTheme="minorHAnsi" w:hAnsiTheme="minorHAnsi" w:cstheme="minorHAnsi"/>
          <w:lang w:val="fr-FR" w:eastAsia="fr-FR"/>
        </w:rPr>
        <w:t xml:space="preserve"> ce qui implique nécessairement la reconnaissance d’un lien de causalité entre l’accident et les lésions</w:t>
      </w:r>
      <w:r>
        <w:rPr>
          <w:rFonts w:asciiTheme="minorHAnsi" w:hAnsiTheme="minorHAnsi" w:cstheme="minorHAnsi"/>
          <w:lang w:val="fr-FR" w:eastAsia="fr-FR"/>
        </w:rPr>
        <w:t>,</w:t>
      </w:r>
      <w:r w:rsidR="00AD72E3">
        <w:rPr>
          <w:rFonts w:asciiTheme="minorHAnsi" w:hAnsiTheme="minorHAnsi" w:cstheme="minorHAnsi"/>
          <w:lang w:val="fr-FR" w:eastAsia="fr-FR"/>
        </w:rPr>
        <w:t xml:space="preserve"> mais que cette même autorité ne soit pas tenue par la décision du MEDEX quant à ce lien de causalité.</w:t>
      </w:r>
    </w:p>
    <w:p w14:paraId="7CA3FE43" w14:textId="3A5E5E1B" w:rsidR="00AD72E3" w:rsidRDefault="00AD72E3" w:rsidP="00AD72E3">
      <w:pPr>
        <w:jc w:val="both"/>
        <w:rPr>
          <w:rFonts w:asciiTheme="minorHAnsi" w:hAnsiTheme="minorHAnsi" w:cstheme="minorHAnsi"/>
          <w:lang w:val="fr-FR" w:eastAsia="fr-FR"/>
        </w:rPr>
      </w:pPr>
    </w:p>
    <w:p w14:paraId="514CFEC2" w14:textId="66E9D620" w:rsidR="00AD72E3" w:rsidRDefault="00AD72E3" w:rsidP="00AD72E3">
      <w:pPr>
        <w:jc w:val="both"/>
        <w:rPr>
          <w:rFonts w:asciiTheme="minorHAnsi" w:hAnsiTheme="minorHAnsi" w:cstheme="minorHAnsi"/>
          <w:lang w:val="fr-FR" w:eastAsia="fr-FR"/>
        </w:rPr>
      </w:pPr>
      <w:r>
        <w:rPr>
          <w:rFonts w:asciiTheme="minorHAnsi" w:hAnsiTheme="minorHAnsi" w:cstheme="minorHAnsi"/>
          <w:lang w:val="fr-FR" w:eastAsia="fr-FR"/>
        </w:rPr>
        <w:t>L’</w:t>
      </w:r>
      <w:r w:rsidR="00206FDD">
        <w:rPr>
          <w:rFonts w:asciiTheme="minorHAnsi" w:hAnsiTheme="minorHAnsi" w:cstheme="minorHAnsi"/>
          <w:lang w:val="fr-FR" w:eastAsia="fr-FR"/>
        </w:rPr>
        <w:t>A</w:t>
      </w:r>
      <w:r>
        <w:rPr>
          <w:rFonts w:asciiTheme="minorHAnsi" w:hAnsiTheme="minorHAnsi" w:cstheme="minorHAnsi"/>
          <w:lang w:val="fr-FR" w:eastAsia="fr-FR"/>
        </w:rPr>
        <w:t>rrêté Royal prévoit donc que le service médical doit non seulement vérifier le lien de causalité mais également établir le lien de causalité pour ensuite fixer la date de consolidation</w:t>
      </w:r>
      <w:r w:rsidR="00206FDD">
        <w:rPr>
          <w:rFonts w:asciiTheme="minorHAnsi" w:hAnsiTheme="minorHAnsi" w:cstheme="minorHAnsi"/>
          <w:lang w:val="fr-FR" w:eastAsia="fr-FR"/>
        </w:rPr>
        <w:t xml:space="preserve"> et</w:t>
      </w:r>
      <w:r>
        <w:rPr>
          <w:rFonts w:asciiTheme="minorHAnsi" w:hAnsiTheme="minorHAnsi" w:cstheme="minorHAnsi"/>
          <w:lang w:val="fr-FR" w:eastAsia="fr-FR"/>
        </w:rPr>
        <w:t xml:space="preserve"> le pourcentage d’incapacité permanente.</w:t>
      </w:r>
    </w:p>
    <w:p w14:paraId="2E6244EB" w14:textId="0AFAB7E0" w:rsidR="00AD72E3" w:rsidRDefault="00AD72E3" w:rsidP="00AD72E3">
      <w:pPr>
        <w:jc w:val="both"/>
        <w:rPr>
          <w:rFonts w:asciiTheme="minorHAnsi" w:hAnsiTheme="minorHAnsi" w:cstheme="minorHAnsi"/>
          <w:lang w:val="fr-FR" w:eastAsia="fr-FR"/>
        </w:rPr>
      </w:pPr>
    </w:p>
    <w:p w14:paraId="791344BE" w14:textId="6BD4D89F" w:rsidR="00AD72E3" w:rsidRDefault="00AD72E3" w:rsidP="00AD72E3">
      <w:pPr>
        <w:jc w:val="both"/>
        <w:rPr>
          <w:rFonts w:asciiTheme="minorHAnsi" w:hAnsiTheme="minorHAnsi" w:cstheme="minorHAnsi"/>
          <w:lang w:val="fr-FR" w:eastAsia="fr-FR"/>
        </w:rPr>
      </w:pPr>
      <w:r>
        <w:rPr>
          <w:rFonts w:asciiTheme="minorHAnsi" w:hAnsiTheme="minorHAnsi" w:cstheme="minorHAnsi"/>
          <w:lang w:val="fr-FR" w:eastAsia="fr-FR"/>
        </w:rPr>
        <w:t>Il est donc logique que l’autorité soit tenue non seulement quant à ce taux mais également</w:t>
      </w:r>
      <w:r w:rsidR="00A07D98">
        <w:rPr>
          <w:rFonts w:asciiTheme="minorHAnsi" w:hAnsiTheme="minorHAnsi" w:cstheme="minorHAnsi"/>
          <w:lang w:val="fr-FR" w:eastAsia="fr-FR"/>
        </w:rPr>
        <w:t xml:space="preserve"> quant</w:t>
      </w:r>
      <w:r>
        <w:rPr>
          <w:rFonts w:asciiTheme="minorHAnsi" w:hAnsiTheme="minorHAnsi" w:cstheme="minorHAnsi"/>
          <w:lang w:val="fr-FR" w:eastAsia="fr-FR"/>
        </w:rPr>
        <w:t xml:space="preserve"> à la décision relative à l’existence de ce lien de causalité.</w:t>
      </w:r>
    </w:p>
    <w:p w14:paraId="4AA64E09" w14:textId="690C9D69" w:rsidR="00342809" w:rsidRDefault="00342809" w:rsidP="00AD72E3">
      <w:pPr>
        <w:jc w:val="both"/>
        <w:rPr>
          <w:rFonts w:asciiTheme="minorHAnsi" w:hAnsiTheme="minorHAnsi" w:cstheme="minorHAnsi"/>
          <w:lang w:val="fr-FR" w:eastAsia="fr-FR"/>
        </w:rPr>
      </w:pPr>
    </w:p>
    <w:p w14:paraId="39CEAE03" w14:textId="40210196" w:rsidR="00FB326B" w:rsidRPr="00BA673A" w:rsidRDefault="00FB326B" w:rsidP="00FB326B">
      <w:pPr>
        <w:shd w:val="clear" w:color="auto" w:fill="FFFFFF"/>
        <w:rPr>
          <w:rFonts w:asciiTheme="minorHAnsi" w:hAnsiTheme="minorHAnsi" w:cstheme="minorHAnsi"/>
          <w:lang w:val="fr-FR"/>
        </w:rPr>
      </w:pPr>
      <w:r w:rsidRPr="00BA673A">
        <w:rPr>
          <w:rFonts w:asciiTheme="minorHAnsi" w:hAnsiTheme="minorHAnsi" w:cstheme="minorHAnsi"/>
          <w:lang w:val="fr-FR"/>
        </w:rPr>
        <w:t>La Cour du travail de Mons</w:t>
      </w:r>
      <w:r w:rsidRPr="00BA673A">
        <w:rPr>
          <w:rStyle w:val="Appelnotedebasdep"/>
          <w:rFonts w:asciiTheme="minorHAnsi" w:hAnsiTheme="minorHAnsi" w:cstheme="minorHAnsi"/>
          <w:lang w:val="fr-FR"/>
        </w:rPr>
        <w:footnoteReference w:id="3"/>
      </w:r>
      <w:r w:rsidRPr="00BA673A">
        <w:rPr>
          <w:rFonts w:asciiTheme="minorHAnsi" w:hAnsiTheme="minorHAnsi" w:cstheme="minorHAnsi"/>
          <w:lang w:val="fr-FR"/>
        </w:rPr>
        <w:t xml:space="preserve"> a d’ailleurs décidé</w:t>
      </w:r>
      <w:r w:rsidR="00A07D98">
        <w:rPr>
          <w:rFonts w:asciiTheme="minorHAnsi" w:hAnsiTheme="minorHAnsi" w:cstheme="minorHAnsi"/>
          <w:lang w:val="fr-FR"/>
        </w:rPr>
        <w:t xml:space="preserve"> dans ce sens</w:t>
      </w:r>
      <w:r w:rsidRPr="00BA673A">
        <w:rPr>
          <w:rFonts w:asciiTheme="minorHAnsi" w:hAnsiTheme="minorHAnsi" w:cstheme="minorHAnsi"/>
          <w:lang w:val="fr-FR"/>
        </w:rPr>
        <w:t xml:space="preserve"> dans un arrêt prononcé le 12 février 2019 que :</w:t>
      </w:r>
    </w:p>
    <w:p w14:paraId="3590A48C" w14:textId="77777777" w:rsidR="00FB326B" w:rsidRPr="00BA673A" w:rsidRDefault="00FB326B" w:rsidP="00FB326B">
      <w:pPr>
        <w:shd w:val="clear" w:color="auto" w:fill="FFFFFF"/>
        <w:rPr>
          <w:rFonts w:asciiTheme="minorHAnsi" w:hAnsiTheme="minorHAnsi" w:cstheme="minorHAnsi"/>
          <w:lang w:val="fr-FR"/>
        </w:rPr>
      </w:pPr>
    </w:p>
    <w:p w14:paraId="1487F5EC" w14:textId="48F68D1E" w:rsidR="00FB326B" w:rsidRPr="00FB326B" w:rsidRDefault="00FB326B" w:rsidP="00FB326B">
      <w:pPr>
        <w:shd w:val="clear" w:color="auto" w:fill="FFFFFF"/>
        <w:rPr>
          <w:rFonts w:asciiTheme="minorHAnsi" w:eastAsia="Times New Roman" w:hAnsiTheme="minorHAnsi" w:cstheme="minorHAnsi"/>
          <w:color w:val="222222"/>
          <w:lang w:eastAsia="en-GB"/>
        </w:rPr>
      </w:pPr>
      <w:r w:rsidRPr="00FB326B">
        <w:rPr>
          <w:rFonts w:asciiTheme="minorHAnsi" w:hAnsiTheme="minorHAnsi" w:cstheme="minorHAnsi"/>
          <w:lang w:val="fr-FR"/>
        </w:rPr>
        <w:t xml:space="preserve"> </w:t>
      </w:r>
      <w:r w:rsidRPr="00FB326B">
        <w:rPr>
          <w:rFonts w:asciiTheme="minorHAnsi" w:eastAsia="Times New Roman" w:hAnsiTheme="minorHAnsi" w:cstheme="minorHAnsi"/>
          <w:i/>
          <w:iCs/>
          <w:color w:val="222222"/>
          <w:lang w:eastAsia="en-GB"/>
        </w:rPr>
        <w:t xml:space="preserve">« Il est exact que, comme le relève l’ISPPC, l’article 8 de l’arrêté royal du 13 juillet 1970 disposait, avant sa modification par l’arrêté royal du 8 mai 2014, que le service médical ‘apprécie s’il existe une relation de cause à effet entre l’accident et les lésions’ et fixe le pourcentage de l’incapacité permanente résultant des lésions physiologiques occasionnées par l’accident, alors que dans sa nouvelle version, cette disposition donne mission au MEDEX de ‘vérifier le lien de causalité entre l’accident du travail et les </w:t>
      </w:r>
      <w:r w:rsidRPr="00FB326B">
        <w:rPr>
          <w:rFonts w:asciiTheme="minorHAnsi" w:eastAsia="Times New Roman" w:hAnsiTheme="minorHAnsi" w:cstheme="minorHAnsi"/>
          <w:i/>
          <w:iCs/>
          <w:color w:val="222222"/>
          <w:lang w:eastAsia="en-GB"/>
        </w:rPr>
        <w:lastRenderedPageBreak/>
        <w:t>lésions’.</w:t>
      </w:r>
    </w:p>
    <w:p w14:paraId="3EF22970" w14:textId="77777777" w:rsidR="00FB326B" w:rsidRPr="00FB326B" w:rsidRDefault="00FB326B" w:rsidP="00FB326B">
      <w:pPr>
        <w:shd w:val="clear" w:color="auto" w:fill="FFFFFF"/>
        <w:ind w:left="708"/>
        <w:jc w:val="both"/>
        <w:rPr>
          <w:rFonts w:asciiTheme="minorHAnsi" w:eastAsia="Times New Roman" w:hAnsiTheme="minorHAnsi" w:cstheme="minorHAnsi"/>
          <w:b/>
          <w:bCs/>
          <w:i/>
          <w:iCs/>
          <w:color w:val="222222"/>
          <w:lang w:eastAsia="en-GB"/>
        </w:rPr>
      </w:pPr>
    </w:p>
    <w:p w14:paraId="6B2C8B32" w14:textId="77777777" w:rsidR="00FB326B" w:rsidRPr="00FB326B" w:rsidRDefault="00FB326B" w:rsidP="00FB326B">
      <w:pPr>
        <w:shd w:val="clear" w:color="auto" w:fill="FFFFFF"/>
        <w:jc w:val="both"/>
        <w:rPr>
          <w:rFonts w:asciiTheme="minorHAnsi" w:eastAsia="Times New Roman" w:hAnsiTheme="minorHAnsi" w:cstheme="minorHAnsi"/>
          <w:color w:val="222222"/>
          <w:lang w:eastAsia="en-GB"/>
        </w:rPr>
      </w:pPr>
      <w:r w:rsidRPr="00FB326B">
        <w:rPr>
          <w:rFonts w:asciiTheme="minorHAnsi" w:eastAsia="Times New Roman" w:hAnsiTheme="minorHAnsi" w:cstheme="minorHAnsi"/>
          <w:b/>
          <w:bCs/>
          <w:i/>
          <w:iCs/>
          <w:color w:val="222222"/>
          <w:lang w:eastAsia="en-GB"/>
        </w:rPr>
        <w:t>Toutefois, outre la question de savoir si le législateur a entendu clarifier une situation qu’il estimait existante ou, au contraire, modifier les règles, il reste que, dès l’instant où il doit être admis qu’est contraignante, dans les deux cas de figure, la décision du MEDEX fixant le taux de l’incapacité permanente résultant des lésions physiologiques occasionnées par l’accident, il parait logique de se référer au libellé des lésions contenu dans la décision du MEDEX. Il est en effet difficilement envisageable que ce service médical fixe le pourcentage de l’incapacité permanente de travail sans déterminer au préalable les lésions qui sont imputables à l’accident.</w:t>
      </w:r>
      <w:r w:rsidRPr="00FB326B">
        <w:rPr>
          <w:rStyle w:val="Appelnotedebasdep"/>
          <w:rFonts w:asciiTheme="minorHAnsi" w:eastAsia="Times New Roman" w:hAnsiTheme="minorHAnsi" w:cstheme="minorHAnsi"/>
          <w:bCs/>
          <w:iCs/>
          <w:color w:val="222222"/>
          <w:lang w:eastAsia="en-GB"/>
        </w:rPr>
        <w:footnoteReference w:id="4"/>
      </w:r>
      <w:r w:rsidRPr="00FB326B">
        <w:rPr>
          <w:rFonts w:asciiTheme="minorHAnsi" w:eastAsia="Times New Roman" w:hAnsiTheme="minorHAnsi" w:cstheme="minorHAnsi"/>
          <w:i/>
          <w:iCs/>
          <w:color w:val="222222"/>
          <w:lang w:eastAsia="en-GB"/>
        </w:rPr>
        <w:t> La Cour considère en conséquence qu’il faut s’en tenir à la description des lésions retenues par le MEDEX comme étant en lien avec l’accident, à savoir : séquelle d’une entorse à l’épaule (…) ».</w:t>
      </w:r>
    </w:p>
    <w:p w14:paraId="26E4F161" w14:textId="77777777" w:rsidR="00FB326B" w:rsidRPr="00FB326B" w:rsidRDefault="00FB326B" w:rsidP="00FB326B">
      <w:pPr>
        <w:tabs>
          <w:tab w:val="left" w:pos="-1440"/>
        </w:tabs>
        <w:snapToGrid w:val="0"/>
        <w:jc w:val="both"/>
        <w:rPr>
          <w:rFonts w:asciiTheme="minorHAnsi" w:hAnsiTheme="minorHAnsi" w:cstheme="minorHAnsi"/>
          <w:lang w:val="fr-FR"/>
        </w:rPr>
      </w:pPr>
    </w:p>
    <w:p w14:paraId="23FFC5CC" w14:textId="155BFDE5" w:rsidR="00342809" w:rsidRPr="00FB326B" w:rsidRDefault="00BA673A" w:rsidP="00AD72E3">
      <w:pPr>
        <w:jc w:val="both"/>
        <w:rPr>
          <w:rFonts w:asciiTheme="minorHAnsi" w:hAnsiTheme="minorHAnsi" w:cstheme="minorHAnsi"/>
          <w:lang w:val="fr-FR" w:eastAsia="fr-FR"/>
        </w:rPr>
      </w:pPr>
      <w:r>
        <w:rPr>
          <w:rFonts w:asciiTheme="minorHAnsi" w:hAnsiTheme="minorHAnsi" w:cstheme="minorHAnsi"/>
          <w:lang w:val="fr-FR" w:eastAsia="fr-FR"/>
        </w:rPr>
        <w:t>Dans un jugement prononcé le 8 février 2022, le tribunal du travail du Hainaut, division Charleroi, a jugé également que la décision du service médical MEDEX est contraignante vis-à-vis de l’employeur sur l’ensemble des aspects sur lesquels ce service est chargé de se prononcer, à savoir les lésions qui donnent lieu à la réparation, l’imputabilité de l’incapacité temporaire, la date de consolidation, le pourcentage de l’incapacité permanente et celui de l’aide de tiers.</w:t>
      </w:r>
      <w:r>
        <w:rPr>
          <w:rStyle w:val="Appelnotedebasdep"/>
          <w:rFonts w:asciiTheme="minorHAnsi" w:hAnsiTheme="minorHAnsi" w:cstheme="minorHAnsi"/>
          <w:lang w:val="fr-FR" w:eastAsia="fr-FR"/>
        </w:rPr>
        <w:footnoteReference w:id="5"/>
      </w:r>
    </w:p>
    <w:p w14:paraId="43EE0392" w14:textId="77777777" w:rsidR="00B9506C" w:rsidRDefault="00B9506C" w:rsidP="00AD72E3">
      <w:pPr>
        <w:jc w:val="both"/>
        <w:rPr>
          <w:rFonts w:asciiTheme="minorHAnsi" w:hAnsiTheme="minorHAnsi" w:cstheme="minorHAnsi"/>
          <w:lang w:val="fr-FR" w:eastAsia="fr-FR"/>
        </w:rPr>
      </w:pPr>
    </w:p>
    <w:p w14:paraId="5C564618" w14:textId="163D4D08" w:rsidR="00AD72E3" w:rsidRDefault="00AD72E3" w:rsidP="00AD72E3">
      <w:pPr>
        <w:jc w:val="both"/>
        <w:rPr>
          <w:rFonts w:asciiTheme="minorHAnsi" w:hAnsiTheme="minorHAnsi" w:cstheme="minorHAnsi"/>
          <w:lang w:val="fr-FR" w:eastAsia="fr-FR"/>
        </w:rPr>
      </w:pPr>
      <w:r>
        <w:rPr>
          <w:rFonts w:asciiTheme="minorHAnsi" w:hAnsiTheme="minorHAnsi" w:cstheme="minorHAnsi"/>
          <w:lang w:val="fr-FR" w:eastAsia="fr-FR"/>
        </w:rPr>
        <w:t xml:space="preserve">Dans ses conclusions </w:t>
      </w:r>
      <w:r w:rsidR="0065284F">
        <w:rPr>
          <w:rFonts w:asciiTheme="minorHAnsi" w:hAnsiTheme="minorHAnsi" w:cstheme="minorHAnsi"/>
          <w:lang w:val="fr-FR" w:eastAsia="fr-FR"/>
        </w:rPr>
        <w:t>le CHU</w:t>
      </w:r>
      <w:r>
        <w:rPr>
          <w:rFonts w:asciiTheme="minorHAnsi" w:hAnsiTheme="minorHAnsi" w:cstheme="minorHAnsi"/>
          <w:lang w:val="fr-FR" w:eastAsia="fr-FR"/>
        </w:rPr>
        <w:t xml:space="preserve"> indique que la modification de l’article </w:t>
      </w:r>
      <w:r w:rsidR="00FB326B">
        <w:rPr>
          <w:rFonts w:asciiTheme="minorHAnsi" w:hAnsiTheme="minorHAnsi" w:cstheme="minorHAnsi"/>
          <w:lang w:val="fr-FR" w:eastAsia="fr-FR"/>
        </w:rPr>
        <w:t>8</w:t>
      </w:r>
      <w:r>
        <w:rPr>
          <w:rFonts w:asciiTheme="minorHAnsi" w:hAnsiTheme="minorHAnsi" w:cstheme="minorHAnsi"/>
          <w:lang w:val="fr-FR" w:eastAsia="fr-FR"/>
        </w:rPr>
        <w:t xml:space="preserve"> de l’</w:t>
      </w:r>
      <w:r w:rsidR="00B9506C">
        <w:rPr>
          <w:rFonts w:asciiTheme="minorHAnsi" w:hAnsiTheme="minorHAnsi" w:cstheme="minorHAnsi"/>
          <w:lang w:val="fr-FR" w:eastAsia="fr-FR"/>
        </w:rPr>
        <w:t>A</w:t>
      </w:r>
      <w:r>
        <w:rPr>
          <w:rFonts w:asciiTheme="minorHAnsi" w:hAnsiTheme="minorHAnsi" w:cstheme="minorHAnsi"/>
          <w:lang w:val="fr-FR" w:eastAsia="fr-FR"/>
        </w:rPr>
        <w:t xml:space="preserve">rrêté </w:t>
      </w:r>
      <w:r w:rsidR="00B9506C">
        <w:rPr>
          <w:rFonts w:asciiTheme="minorHAnsi" w:hAnsiTheme="minorHAnsi" w:cstheme="minorHAnsi"/>
          <w:lang w:val="fr-FR" w:eastAsia="fr-FR"/>
        </w:rPr>
        <w:t>R</w:t>
      </w:r>
      <w:r>
        <w:rPr>
          <w:rFonts w:asciiTheme="minorHAnsi" w:hAnsiTheme="minorHAnsi" w:cstheme="minorHAnsi"/>
          <w:lang w:val="fr-FR" w:eastAsia="fr-FR"/>
        </w:rPr>
        <w:t>oyal e</w:t>
      </w:r>
      <w:r w:rsidR="00B9506C">
        <w:rPr>
          <w:rFonts w:asciiTheme="minorHAnsi" w:hAnsiTheme="minorHAnsi" w:cstheme="minorHAnsi"/>
          <w:lang w:val="fr-FR" w:eastAsia="fr-FR"/>
        </w:rPr>
        <w:t>s</w:t>
      </w:r>
      <w:r>
        <w:rPr>
          <w:rFonts w:asciiTheme="minorHAnsi" w:hAnsiTheme="minorHAnsi" w:cstheme="minorHAnsi"/>
          <w:lang w:val="fr-FR" w:eastAsia="fr-FR"/>
        </w:rPr>
        <w:t>t postérieur</w:t>
      </w:r>
      <w:r w:rsidR="00B9506C">
        <w:rPr>
          <w:rFonts w:asciiTheme="minorHAnsi" w:hAnsiTheme="minorHAnsi" w:cstheme="minorHAnsi"/>
          <w:lang w:val="fr-FR" w:eastAsia="fr-FR"/>
        </w:rPr>
        <w:t>e</w:t>
      </w:r>
      <w:r>
        <w:rPr>
          <w:rFonts w:asciiTheme="minorHAnsi" w:hAnsiTheme="minorHAnsi" w:cstheme="minorHAnsi"/>
          <w:lang w:val="fr-FR" w:eastAsia="fr-FR"/>
        </w:rPr>
        <w:t xml:space="preserve"> à la date de l’accident et à la décision du MEDEX</w:t>
      </w:r>
      <w:r w:rsidR="00191A0D">
        <w:rPr>
          <w:rFonts w:asciiTheme="minorHAnsi" w:hAnsiTheme="minorHAnsi" w:cstheme="minorHAnsi"/>
          <w:lang w:val="fr-FR" w:eastAsia="fr-FR"/>
        </w:rPr>
        <w:t xml:space="preserve"> et que le service médical n</w:t>
      </w:r>
      <w:r w:rsidR="00B9506C">
        <w:rPr>
          <w:rFonts w:asciiTheme="minorHAnsi" w:hAnsiTheme="minorHAnsi" w:cstheme="minorHAnsi"/>
          <w:lang w:val="fr-FR" w:eastAsia="fr-FR"/>
        </w:rPr>
        <w:t>’avait</w:t>
      </w:r>
      <w:r w:rsidR="00191A0D">
        <w:rPr>
          <w:rFonts w:asciiTheme="minorHAnsi" w:hAnsiTheme="minorHAnsi" w:cstheme="minorHAnsi"/>
          <w:lang w:val="fr-FR" w:eastAsia="fr-FR"/>
        </w:rPr>
        <w:t xml:space="preserve"> pas de contrôle</w:t>
      </w:r>
      <w:r w:rsidR="00B9506C">
        <w:rPr>
          <w:rFonts w:asciiTheme="minorHAnsi" w:hAnsiTheme="minorHAnsi" w:cstheme="minorHAnsi"/>
          <w:lang w:val="fr-FR" w:eastAsia="fr-FR"/>
        </w:rPr>
        <w:t>,</w:t>
      </w:r>
      <w:r w:rsidR="00191A0D">
        <w:rPr>
          <w:rFonts w:asciiTheme="minorHAnsi" w:hAnsiTheme="minorHAnsi" w:cstheme="minorHAnsi"/>
          <w:lang w:val="fr-FR" w:eastAsia="fr-FR"/>
        </w:rPr>
        <w:t xml:space="preserve"> à ce moment-là</w:t>
      </w:r>
      <w:r w:rsidR="00B9506C">
        <w:rPr>
          <w:rFonts w:asciiTheme="minorHAnsi" w:hAnsiTheme="minorHAnsi" w:cstheme="minorHAnsi"/>
          <w:lang w:val="fr-FR" w:eastAsia="fr-FR"/>
        </w:rPr>
        <w:t>,</w:t>
      </w:r>
      <w:r w:rsidR="00191A0D">
        <w:rPr>
          <w:rFonts w:asciiTheme="minorHAnsi" w:hAnsiTheme="minorHAnsi" w:cstheme="minorHAnsi"/>
          <w:lang w:val="fr-FR" w:eastAsia="fr-FR"/>
        </w:rPr>
        <w:t xml:space="preserve"> sur le lien de causalité.</w:t>
      </w:r>
    </w:p>
    <w:p w14:paraId="37DACB72" w14:textId="5FBBAD21" w:rsidR="00191A0D" w:rsidRDefault="00191A0D" w:rsidP="00AD72E3">
      <w:pPr>
        <w:jc w:val="both"/>
        <w:rPr>
          <w:rFonts w:asciiTheme="minorHAnsi" w:hAnsiTheme="minorHAnsi" w:cstheme="minorHAnsi"/>
          <w:lang w:val="fr-FR" w:eastAsia="fr-FR"/>
        </w:rPr>
      </w:pPr>
    </w:p>
    <w:p w14:paraId="3493DED2" w14:textId="724200CA" w:rsidR="00191A0D" w:rsidRDefault="00191A0D" w:rsidP="00AD72E3">
      <w:pPr>
        <w:jc w:val="both"/>
        <w:rPr>
          <w:rFonts w:asciiTheme="minorHAnsi" w:hAnsiTheme="minorHAnsi" w:cstheme="minorHAnsi"/>
          <w:lang w:val="fr-FR" w:eastAsia="fr-FR"/>
        </w:rPr>
      </w:pPr>
      <w:r>
        <w:rPr>
          <w:rFonts w:asciiTheme="minorHAnsi" w:hAnsiTheme="minorHAnsi" w:cstheme="minorHAnsi"/>
          <w:lang w:val="fr-FR" w:eastAsia="fr-FR"/>
        </w:rPr>
        <w:t xml:space="preserve">Le tribunal ne peut suivre cette argumentation et constate que lorsque le jugement été prononcé le 23 avril 2018, il y avait lieu de faire application de l’article </w:t>
      </w:r>
      <w:r w:rsidR="00B9506C">
        <w:rPr>
          <w:rFonts w:asciiTheme="minorHAnsi" w:hAnsiTheme="minorHAnsi" w:cstheme="minorHAnsi"/>
          <w:lang w:val="fr-FR" w:eastAsia="fr-FR"/>
        </w:rPr>
        <w:t xml:space="preserve">8 </w:t>
      </w:r>
      <w:r>
        <w:rPr>
          <w:rFonts w:asciiTheme="minorHAnsi" w:hAnsiTheme="minorHAnsi" w:cstheme="minorHAnsi"/>
          <w:lang w:val="fr-FR" w:eastAsia="fr-FR"/>
        </w:rPr>
        <w:t>de l’</w:t>
      </w:r>
      <w:r w:rsidR="00B9506C">
        <w:rPr>
          <w:rFonts w:asciiTheme="minorHAnsi" w:hAnsiTheme="minorHAnsi" w:cstheme="minorHAnsi"/>
          <w:lang w:val="fr-FR" w:eastAsia="fr-FR"/>
        </w:rPr>
        <w:t>A</w:t>
      </w:r>
      <w:r>
        <w:rPr>
          <w:rFonts w:asciiTheme="minorHAnsi" w:hAnsiTheme="minorHAnsi" w:cstheme="minorHAnsi"/>
          <w:lang w:val="fr-FR" w:eastAsia="fr-FR"/>
        </w:rPr>
        <w:t>rrêté Royal dans sa nouvelle version et dans le cadre de l’expertise c’est effectivement ce principe juridique qui devait être appliqué.</w:t>
      </w:r>
    </w:p>
    <w:p w14:paraId="23739A5E" w14:textId="24F5DEB1" w:rsidR="00191A0D" w:rsidRDefault="00191A0D" w:rsidP="00AD72E3">
      <w:pPr>
        <w:jc w:val="both"/>
        <w:rPr>
          <w:rFonts w:asciiTheme="minorHAnsi" w:hAnsiTheme="minorHAnsi" w:cstheme="minorHAnsi"/>
          <w:lang w:val="fr-FR" w:eastAsia="fr-FR"/>
        </w:rPr>
      </w:pPr>
    </w:p>
    <w:p w14:paraId="076CFE47" w14:textId="2B2D58AF" w:rsidR="00191A0D" w:rsidRDefault="00191A0D" w:rsidP="00AD72E3">
      <w:pPr>
        <w:jc w:val="both"/>
        <w:rPr>
          <w:rFonts w:asciiTheme="minorHAnsi" w:hAnsiTheme="minorHAnsi" w:cstheme="minorHAnsi"/>
          <w:lang w:val="fr-FR" w:eastAsia="fr-FR"/>
        </w:rPr>
      </w:pPr>
      <w:r>
        <w:rPr>
          <w:rFonts w:asciiTheme="minorHAnsi" w:hAnsiTheme="minorHAnsi" w:cstheme="minorHAnsi"/>
          <w:lang w:val="fr-FR" w:eastAsia="fr-FR"/>
        </w:rPr>
        <w:t>L’expert</w:t>
      </w:r>
      <w:bookmarkStart w:id="5" w:name="_Hlk122421581"/>
      <w:r>
        <w:rPr>
          <w:rFonts w:asciiTheme="minorHAnsi" w:hAnsiTheme="minorHAnsi" w:cstheme="minorHAnsi"/>
          <w:lang w:val="fr-FR" w:eastAsia="fr-FR"/>
        </w:rPr>
        <w:t xml:space="preserve"> </w:t>
      </w:r>
      <w:bookmarkEnd w:id="5"/>
      <w:r w:rsidR="00B9506C">
        <w:rPr>
          <w:rFonts w:asciiTheme="minorHAnsi" w:hAnsiTheme="minorHAnsi" w:cstheme="minorHAnsi"/>
          <w:lang w:val="fr-FR" w:eastAsia="fr-FR"/>
        </w:rPr>
        <w:t>a</w:t>
      </w:r>
      <w:r>
        <w:rPr>
          <w:rFonts w:asciiTheme="minorHAnsi" w:hAnsiTheme="minorHAnsi" w:cstheme="minorHAnsi"/>
          <w:lang w:val="fr-FR" w:eastAsia="fr-FR"/>
        </w:rPr>
        <w:t xml:space="preserve"> relev</w:t>
      </w:r>
      <w:r w:rsidR="00B9506C">
        <w:rPr>
          <w:rFonts w:asciiTheme="minorHAnsi" w:hAnsiTheme="minorHAnsi" w:cstheme="minorHAnsi"/>
          <w:lang w:val="fr-FR" w:eastAsia="fr-FR"/>
        </w:rPr>
        <w:t>é</w:t>
      </w:r>
      <w:r w:rsidR="00A07D98">
        <w:rPr>
          <w:rFonts w:asciiTheme="minorHAnsi" w:hAnsiTheme="minorHAnsi" w:cstheme="minorHAnsi"/>
          <w:lang w:val="fr-FR" w:eastAsia="fr-FR"/>
        </w:rPr>
        <w:t xml:space="preserve"> à juste titre</w:t>
      </w:r>
      <w:r>
        <w:rPr>
          <w:rFonts w:asciiTheme="minorHAnsi" w:hAnsiTheme="minorHAnsi" w:cstheme="minorHAnsi"/>
          <w:lang w:val="fr-FR" w:eastAsia="fr-FR"/>
        </w:rPr>
        <w:t xml:space="preserve"> que d’un point de vue juridique il y avait une difficulté au sujet de laquelle les parties avaient des positions différentes. Il n’appartenait évidemment pas à l’expert de trancher quant à ce, son avis ét</w:t>
      </w:r>
      <w:r w:rsidR="00B9506C">
        <w:rPr>
          <w:rFonts w:asciiTheme="minorHAnsi" w:hAnsiTheme="minorHAnsi" w:cstheme="minorHAnsi"/>
          <w:lang w:val="fr-FR" w:eastAsia="fr-FR"/>
        </w:rPr>
        <w:t>ant</w:t>
      </w:r>
      <w:r>
        <w:rPr>
          <w:rFonts w:asciiTheme="minorHAnsi" w:hAnsiTheme="minorHAnsi" w:cstheme="minorHAnsi"/>
          <w:lang w:val="fr-FR" w:eastAsia="fr-FR"/>
        </w:rPr>
        <w:t xml:space="preserve"> </w:t>
      </w:r>
      <w:r w:rsidR="00B9506C">
        <w:rPr>
          <w:rFonts w:asciiTheme="minorHAnsi" w:hAnsiTheme="minorHAnsi" w:cstheme="minorHAnsi"/>
          <w:lang w:val="fr-FR" w:eastAsia="fr-FR"/>
        </w:rPr>
        <w:t>sollicité</w:t>
      </w:r>
      <w:r>
        <w:rPr>
          <w:rFonts w:asciiTheme="minorHAnsi" w:hAnsiTheme="minorHAnsi" w:cstheme="minorHAnsi"/>
          <w:lang w:val="fr-FR" w:eastAsia="fr-FR"/>
        </w:rPr>
        <w:t xml:space="preserve"> d’un point de vue médical.</w:t>
      </w:r>
    </w:p>
    <w:p w14:paraId="33CD1AF3" w14:textId="5E8F99A4" w:rsidR="00191A0D" w:rsidRDefault="00191A0D" w:rsidP="00AD72E3">
      <w:pPr>
        <w:jc w:val="both"/>
        <w:rPr>
          <w:rFonts w:asciiTheme="minorHAnsi" w:hAnsiTheme="minorHAnsi" w:cstheme="minorHAnsi"/>
          <w:lang w:val="fr-FR" w:eastAsia="fr-FR"/>
        </w:rPr>
      </w:pPr>
    </w:p>
    <w:p w14:paraId="3DEDA73A" w14:textId="611B2425" w:rsidR="00191A0D" w:rsidRDefault="00191A0D" w:rsidP="00AD72E3">
      <w:pPr>
        <w:jc w:val="both"/>
        <w:rPr>
          <w:rFonts w:asciiTheme="minorHAnsi" w:hAnsiTheme="minorHAnsi" w:cstheme="minorHAnsi"/>
          <w:lang w:val="fr-FR" w:eastAsia="fr-FR"/>
        </w:rPr>
      </w:pPr>
      <w:r>
        <w:rPr>
          <w:rFonts w:asciiTheme="minorHAnsi" w:hAnsiTheme="minorHAnsi" w:cstheme="minorHAnsi"/>
          <w:lang w:val="fr-FR" w:eastAsia="fr-FR"/>
        </w:rPr>
        <w:t xml:space="preserve">L’expert a exprimé son avis d’un point de vue médical mais d’un point de vue strictement juridique, le tribunal estime qu’il y avait lieu de faire application des articles </w:t>
      </w:r>
      <w:r w:rsidR="00B9506C">
        <w:rPr>
          <w:rFonts w:asciiTheme="minorHAnsi" w:hAnsiTheme="minorHAnsi" w:cstheme="minorHAnsi"/>
          <w:lang w:val="fr-FR" w:eastAsia="fr-FR"/>
        </w:rPr>
        <w:t>8</w:t>
      </w:r>
      <w:r>
        <w:rPr>
          <w:rFonts w:asciiTheme="minorHAnsi" w:hAnsiTheme="minorHAnsi" w:cstheme="minorHAnsi"/>
          <w:lang w:val="fr-FR" w:eastAsia="fr-FR"/>
        </w:rPr>
        <w:t xml:space="preserve"> et </w:t>
      </w:r>
      <w:r w:rsidR="00B9506C">
        <w:rPr>
          <w:rFonts w:asciiTheme="minorHAnsi" w:hAnsiTheme="minorHAnsi" w:cstheme="minorHAnsi"/>
          <w:lang w:val="fr-FR" w:eastAsia="fr-FR"/>
        </w:rPr>
        <w:t>9</w:t>
      </w:r>
      <w:r>
        <w:rPr>
          <w:rFonts w:asciiTheme="minorHAnsi" w:hAnsiTheme="minorHAnsi" w:cstheme="minorHAnsi"/>
          <w:lang w:val="fr-FR" w:eastAsia="fr-FR"/>
        </w:rPr>
        <w:t xml:space="preserve"> de l’</w:t>
      </w:r>
      <w:r w:rsidR="00B9506C">
        <w:rPr>
          <w:rFonts w:asciiTheme="minorHAnsi" w:hAnsiTheme="minorHAnsi" w:cstheme="minorHAnsi"/>
          <w:lang w:val="fr-FR" w:eastAsia="fr-FR"/>
        </w:rPr>
        <w:t>A</w:t>
      </w:r>
      <w:r>
        <w:rPr>
          <w:rFonts w:asciiTheme="minorHAnsi" w:hAnsiTheme="minorHAnsi" w:cstheme="minorHAnsi"/>
          <w:lang w:val="fr-FR" w:eastAsia="fr-FR"/>
        </w:rPr>
        <w:t xml:space="preserve">rrêté </w:t>
      </w:r>
      <w:r w:rsidR="00B9506C">
        <w:rPr>
          <w:rFonts w:asciiTheme="minorHAnsi" w:hAnsiTheme="minorHAnsi" w:cstheme="minorHAnsi"/>
          <w:lang w:val="fr-FR" w:eastAsia="fr-FR"/>
        </w:rPr>
        <w:t>R</w:t>
      </w:r>
      <w:r>
        <w:rPr>
          <w:rFonts w:asciiTheme="minorHAnsi" w:hAnsiTheme="minorHAnsi" w:cstheme="minorHAnsi"/>
          <w:lang w:val="fr-FR" w:eastAsia="fr-FR"/>
        </w:rPr>
        <w:t>oyal</w:t>
      </w:r>
      <w:r w:rsidR="00A07D98">
        <w:rPr>
          <w:rFonts w:asciiTheme="minorHAnsi" w:hAnsiTheme="minorHAnsi" w:cstheme="minorHAnsi"/>
          <w:lang w:val="fr-FR" w:eastAsia="fr-FR"/>
        </w:rPr>
        <w:t xml:space="preserve"> dans leur version actuelle</w:t>
      </w:r>
      <w:r>
        <w:rPr>
          <w:rFonts w:asciiTheme="minorHAnsi" w:hAnsiTheme="minorHAnsi" w:cstheme="minorHAnsi"/>
          <w:lang w:val="fr-FR" w:eastAsia="fr-FR"/>
        </w:rPr>
        <w:t xml:space="preserve"> et que dès lors la décision du MEDEX quant à l’existence d’un lien de causalité et quant à l’évaluation de l’incapacité permanente était contraignante.</w:t>
      </w:r>
    </w:p>
    <w:p w14:paraId="3A660072" w14:textId="762BF698" w:rsidR="00191A0D" w:rsidRDefault="00191A0D" w:rsidP="00AD72E3">
      <w:pPr>
        <w:jc w:val="both"/>
        <w:rPr>
          <w:rFonts w:asciiTheme="minorHAnsi" w:hAnsiTheme="minorHAnsi" w:cstheme="minorHAnsi"/>
          <w:lang w:val="fr-FR" w:eastAsia="fr-FR"/>
        </w:rPr>
      </w:pPr>
    </w:p>
    <w:p w14:paraId="7064AF65" w14:textId="755671FA" w:rsidR="00FB326B" w:rsidRDefault="00191A0D" w:rsidP="00AD72E3">
      <w:pPr>
        <w:jc w:val="both"/>
        <w:rPr>
          <w:rFonts w:asciiTheme="minorHAnsi" w:hAnsiTheme="minorHAnsi" w:cstheme="minorHAnsi"/>
          <w:lang w:val="fr-FR" w:eastAsia="fr-FR"/>
        </w:rPr>
      </w:pPr>
      <w:r>
        <w:rPr>
          <w:rFonts w:asciiTheme="minorHAnsi" w:hAnsiTheme="minorHAnsi" w:cstheme="minorHAnsi"/>
          <w:lang w:val="fr-FR" w:eastAsia="fr-FR"/>
        </w:rPr>
        <w:t xml:space="preserve">Le tribunal estime que </w:t>
      </w:r>
      <w:r w:rsidR="00447DB5">
        <w:rPr>
          <w:rFonts w:asciiTheme="minorHAnsi" w:hAnsiTheme="minorHAnsi" w:cstheme="minorHAnsi"/>
          <w:lang w:val="fr-FR" w:eastAsia="fr-FR"/>
        </w:rPr>
        <w:t xml:space="preserve">Madame </w:t>
      </w:r>
      <w:r w:rsidR="003C0129">
        <w:rPr>
          <w:rFonts w:asciiTheme="minorHAnsi" w:hAnsiTheme="minorHAnsi" w:cstheme="minorHAnsi"/>
          <w:lang w:val="fr-FR" w:eastAsia="fr-FR"/>
        </w:rPr>
        <w:t>D</w:t>
      </w:r>
      <w:r>
        <w:rPr>
          <w:rFonts w:asciiTheme="minorHAnsi" w:hAnsiTheme="minorHAnsi" w:cstheme="minorHAnsi"/>
          <w:lang w:val="fr-FR" w:eastAsia="fr-FR"/>
        </w:rPr>
        <w:t xml:space="preserve"> devait </w:t>
      </w:r>
      <w:r w:rsidR="00B9506C">
        <w:rPr>
          <w:rFonts w:asciiTheme="minorHAnsi" w:hAnsiTheme="minorHAnsi" w:cstheme="minorHAnsi"/>
          <w:lang w:val="fr-FR" w:eastAsia="fr-FR"/>
        </w:rPr>
        <w:t>dès lors</w:t>
      </w:r>
      <w:r>
        <w:rPr>
          <w:rFonts w:asciiTheme="minorHAnsi" w:hAnsiTheme="minorHAnsi" w:cstheme="minorHAnsi"/>
          <w:lang w:val="fr-FR" w:eastAsia="fr-FR"/>
        </w:rPr>
        <w:t xml:space="preserve"> se voir reconnaître à tout le </w:t>
      </w:r>
      <w:r w:rsidR="00B9506C">
        <w:rPr>
          <w:rFonts w:asciiTheme="minorHAnsi" w:hAnsiTheme="minorHAnsi" w:cstheme="minorHAnsi"/>
          <w:lang w:val="fr-FR" w:eastAsia="fr-FR"/>
        </w:rPr>
        <w:t>moins un</w:t>
      </w:r>
      <w:r>
        <w:rPr>
          <w:rFonts w:asciiTheme="minorHAnsi" w:hAnsiTheme="minorHAnsi" w:cstheme="minorHAnsi"/>
          <w:lang w:val="fr-FR" w:eastAsia="fr-FR"/>
        </w:rPr>
        <w:t xml:space="preserve"> taux d’incapacité permanente</w:t>
      </w:r>
      <w:r w:rsidR="00FB326B">
        <w:rPr>
          <w:rFonts w:asciiTheme="minorHAnsi" w:hAnsiTheme="minorHAnsi" w:cstheme="minorHAnsi"/>
          <w:lang w:val="fr-FR" w:eastAsia="fr-FR"/>
        </w:rPr>
        <w:t xml:space="preserve"> de 6 %.</w:t>
      </w:r>
    </w:p>
    <w:p w14:paraId="422A9830" w14:textId="77777777" w:rsidR="00FB326B" w:rsidRDefault="00FB326B" w:rsidP="00AD72E3">
      <w:pPr>
        <w:jc w:val="both"/>
        <w:rPr>
          <w:rFonts w:asciiTheme="minorHAnsi" w:hAnsiTheme="minorHAnsi" w:cstheme="minorHAnsi"/>
          <w:lang w:val="fr-FR" w:eastAsia="fr-FR"/>
        </w:rPr>
      </w:pPr>
    </w:p>
    <w:p w14:paraId="3C985592" w14:textId="3C10A3A6" w:rsidR="00FB326B" w:rsidRDefault="00447DB5" w:rsidP="00AD72E3">
      <w:pPr>
        <w:jc w:val="both"/>
        <w:rPr>
          <w:rFonts w:asciiTheme="minorHAnsi" w:hAnsiTheme="minorHAnsi" w:cstheme="minorHAnsi"/>
          <w:lang w:val="fr-FR" w:eastAsia="fr-FR"/>
        </w:rPr>
      </w:pPr>
      <w:r>
        <w:rPr>
          <w:rFonts w:asciiTheme="minorHAnsi" w:hAnsiTheme="minorHAnsi" w:cstheme="minorHAnsi"/>
          <w:lang w:val="fr-FR" w:eastAsia="fr-FR"/>
        </w:rPr>
        <w:t xml:space="preserve">Madame </w:t>
      </w:r>
      <w:r w:rsidR="003C0129">
        <w:rPr>
          <w:rFonts w:asciiTheme="minorHAnsi" w:hAnsiTheme="minorHAnsi" w:cstheme="minorHAnsi"/>
          <w:lang w:val="fr-FR" w:eastAsia="fr-FR"/>
        </w:rPr>
        <w:t>D</w:t>
      </w:r>
      <w:r w:rsidR="00FB326B">
        <w:rPr>
          <w:rFonts w:asciiTheme="minorHAnsi" w:hAnsiTheme="minorHAnsi" w:cstheme="minorHAnsi"/>
          <w:lang w:val="fr-FR" w:eastAsia="fr-FR"/>
        </w:rPr>
        <w:t xml:space="preserve">, sur base de l’avis de son médecin-conseil estime que ce taux de 6 % était insuffisant et que sur base du principe de globalisation il y avait lieu de retenir un taux </w:t>
      </w:r>
      <w:r w:rsidR="00FB326B">
        <w:rPr>
          <w:rFonts w:asciiTheme="minorHAnsi" w:hAnsiTheme="minorHAnsi" w:cstheme="minorHAnsi"/>
          <w:lang w:val="fr-FR" w:eastAsia="fr-FR"/>
        </w:rPr>
        <w:lastRenderedPageBreak/>
        <w:t>d’incapacité permanente de 12 %.</w:t>
      </w:r>
    </w:p>
    <w:p w14:paraId="138A5B00" w14:textId="77777777" w:rsidR="00FB326B" w:rsidRDefault="00FB326B" w:rsidP="00AD72E3">
      <w:pPr>
        <w:jc w:val="both"/>
        <w:rPr>
          <w:rFonts w:asciiTheme="minorHAnsi" w:hAnsiTheme="minorHAnsi" w:cstheme="minorHAnsi"/>
          <w:lang w:val="fr-FR" w:eastAsia="fr-FR"/>
        </w:rPr>
      </w:pPr>
    </w:p>
    <w:p w14:paraId="3A548095" w14:textId="5FF09ADA" w:rsidR="00FB326B" w:rsidRDefault="00FB326B" w:rsidP="00AD72E3">
      <w:pPr>
        <w:jc w:val="both"/>
        <w:rPr>
          <w:rFonts w:asciiTheme="minorHAnsi" w:hAnsiTheme="minorHAnsi" w:cstheme="minorHAnsi"/>
          <w:lang w:val="fr-FR" w:eastAsia="fr-FR"/>
        </w:rPr>
      </w:pPr>
      <w:r>
        <w:rPr>
          <w:rFonts w:asciiTheme="minorHAnsi" w:hAnsiTheme="minorHAnsi" w:cstheme="minorHAnsi"/>
          <w:lang w:val="fr-FR" w:eastAsia="fr-FR"/>
        </w:rPr>
        <w:t>Le tribunal ne peut suivre cette position dans la mesure où effectivement il apparaît à la lecture du rapport d’expertise qu</w:t>
      </w:r>
      <w:r w:rsidR="00B9506C">
        <w:rPr>
          <w:rFonts w:asciiTheme="minorHAnsi" w:hAnsiTheme="minorHAnsi" w:cstheme="minorHAnsi"/>
          <w:lang w:val="fr-FR" w:eastAsia="fr-FR"/>
        </w:rPr>
        <w:t>’il y avait un état pathologique préexistant et</w:t>
      </w:r>
      <w:r w:rsidR="00A07D98">
        <w:rPr>
          <w:rFonts w:asciiTheme="minorHAnsi" w:hAnsiTheme="minorHAnsi" w:cstheme="minorHAnsi"/>
          <w:lang w:val="fr-FR" w:eastAsia="fr-FR"/>
        </w:rPr>
        <w:t xml:space="preserve"> que</w:t>
      </w:r>
      <w:r w:rsidR="00B9506C">
        <w:rPr>
          <w:rFonts w:asciiTheme="minorHAnsi" w:hAnsiTheme="minorHAnsi" w:cstheme="minorHAnsi"/>
          <w:lang w:val="fr-FR" w:eastAsia="fr-FR"/>
        </w:rPr>
        <w:t xml:space="preserve"> </w:t>
      </w:r>
      <w:r>
        <w:rPr>
          <w:rFonts w:asciiTheme="minorHAnsi" w:hAnsiTheme="minorHAnsi" w:cstheme="minorHAnsi"/>
          <w:lang w:val="fr-FR" w:eastAsia="fr-FR"/>
        </w:rPr>
        <w:t>les plaintes étaient en grande partie subjective</w:t>
      </w:r>
      <w:r w:rsidR="00B9506C">
        <w:rPr>
          <w:rFonts w:asciiTheme="minorHAnsi" w:hAnsiTheme="minorHAnsi" w:cstheme="minorHAnsi"/>
          <w:lang w:val="fr-FR" w:eastAsia="fr-FR"/>
        </w:rPr>
        <w:t>s</w:t>
      </w:r>
      <w:r>
        <w:rPr>
          <w:rFonts w:asciiTheme="minorHAnsi" w:hAnsiTheme="minorHAnsi" w:cstheme="minorHAnsi"/>
          <w:lang w:val="fr-FR" w:eastAsia="fr-FR"/>
        </w:rPr>
        <w:t>.</w:t>
      </w:r>
    </w:p>
    <w:p w14:paraId="5CD667E8" w14:textId="77777777" w:rsidR="00FB326B" w:rsidRDefault="00FB326B" w:rsidP="00AD72E3">
      <w:pPr>
        <w:jc w:val="both"/>
        <w:rPr>
          <w:rFonts w:asciiTheme="minorHAnsi" w:hAnsiTheme="minorHAnsi" w:cstheme="minorHAnsi"/>
          <w:lang w:val="fr-FR" w:eastAsia="fr-FR"/>
        </w:rPr>
      </w:pPr>
    </w:p>
    <w:p w14:paraId="3159BF06" w14:textId="7BC8F94C" w:rsidR="00FA23BE" w:rsidRDefault="00FB326B" w:rsidP="00AD72E3">
      <w:pPr>
        <w:jc w:val="both"/>
        <w:rPr>
          <w:rFonts w:asciiTheme="minorHAnsi" w:hAnsiTheme="minorHAnsi" w:cstheme="minorHAnsi"/>
          <w:lang w:val="fr-FR" w:eastAsia="fr-FR"/>
        </w:rPr>
      </w:pPr>
      <w:r>
        <w:rPr>
          <w:rFonts w:asciiTheme="minorHAnsi" w:hAnsiTheme="minorHAnsi" w:cstheme="minorHAnsi"/>
          <w:lang w:val="fr-FR" w:eastAsia="fr-FR"/>
        </w:rPr>
        <w:t>Dans la décision prise par le MEDEX, les</w:t>
      </w:r>
      <w:r w:rsidR="00FA23BE">
        <w:rPr>
          <w:rFonts w:asciiTheme="minorHAnsi" w:hAnsiTheme="minorHAnsi" w:cstheme="minorHAnsi"/>
          <w:lang w:val="fr-FR" w:eastAsia="fr-FR"/>
        </w:rPr>
        <w:t xml:space="preserve"> plaintes subjectives sont d’ailleurs détaillé</w:t>
      </w:r>
      <w:r w:rsidR="00B9506C">
        <w:rPr>
          <w:rFonts w:asciiTheme="minorHAnsi" w:hAnsiTheme="minorHAnsi" w:cstheme="minorHAnsi"/>
          <w:lang w:val="fr-FR" w:eastAsia="fr-FR"/>
        </w:rPr>
        <w:t>es</w:t>
      </w:r>
      <w:r w:rsidR="00FA23BE">
        <w:rPr>
          <w:rFonts w:asciiTheme="minorHAnsi" w:hAnsiTheme="minorHAnsi" w:cstheme="minorHAnsi"/>
          <w:lang w:val="fr-FR" w:eastAsia="fr-FR"/>
        </w:rPr>
        <w:t xml:space="preserve"> et son</w:t>
      </w:r>
      <w:r w:rsidR="00B9506C">
        <w:rPr>
          <w:rFonts w:asciiTheme="minorHAnsi" w:hAnsiTheme="minorHAnsi" w:cstheme="minorHAnsi"/>
          <w:lang w:val="fr-FR" w:eastAsia="fr-FR"/>
        </w:rPr>
        <w:t>t</w:t>
      </w:r>
      <w:r w:rsidR="00FA23BE">
        <w:rPr>
          <w:rFonts w:asciiTheme="minorHAnsi" w:hAnsiTheme="minorHAnsi" w:cstheme="minorHAnsi"/>
          <w:lang w:val="fr-FR" w:eastAsia="fr-FR"/>
        </w:rPr>
        <w:t xml:space="preserve"> plus importante</w:t>
      </w:r>
      <w:r w:rsidR="00B9506C">
        <w:rPr>
          <w:rFonts w:asciiTheme="minorHAnsi" w:hAnsiTheme="minorHAnsi" w:cstheme="minorHAnsi"/>
          <w:lang w:val="fr-FR" w:eastAsia="fr-FR"/>
        </w:rPr>
        <w:t>s</w:t>
      </w:r>
      <w:r w:rsidR="00FA23BE">
        <w:rPr>
          <w:rFonts w:asciiTheme="minorHAnsi" w:hAnsiTheme="minorHAnsi" w:cstheme="minorHAnsi"/>
          <w:lang w:val="fr-FR" w:eastAsia="fr-FR"/>
        </w:rPr>
        <w:t xml:space="preserve"> que les plaintes objectives.</w:t>
      </w:r>
    </w:p>
    <w:p w14:paraId="775A7E49" w14:textId="77777777" w:rsidR="00FA23BE" w:rsidRDefault="00FA23BE" w:rsidP="00AD72E3">
      <w:pPr>
        <w:jc w:val="both"/>
        <w:rPr>
          <w:rFonts w:asciiTheme="minorHAnsi" w:hAnsiTheme="minorHAnsi" w:cstheme="minorHAnsi"/>
          <w:lang w:val="fr-FR" w:eastAsia="fr-FR"/>
        </w:rPr>
      </w:pPr>
    </w:p>
    <w:p w14:paraId="739C3D62" w14:textId="217BF696" w:rsidR="00FA23BE" w:rsidRDefault="00FA23BE" w:rsidP="00FA23BE">
      <w:pPr>
        <w:jc w:val="both"/>
        <w:rPr>
          <w:rFonts w:asciiTheme="minorHAnsi" w:hAnsiTheme="minorHAnsi" w:cstheme="minorHAnsi"/>
          <w:lang w:val="fr-FR" w:eastAsia="fr-FR"/>
        </w:rPr>
      </w:pPr>
      <w:r>
        <w:rPr>
          <w:rFonts w:asciiTheme="minorHAnsi" w:hAnsiTheme="minorHAnsi" w:cstheme="minorHAnsi"/>
          <w:lang w:val="fr-FR" w:eastAsia="fr-FR"/>
        </w:rPr>
        <w:t>Le tribunal estim</w:t>
      </w:r>
      <w:r w:rsidR="00B9506C">
        <w:rPr>
          <w:rFonts w:asciiTheme="minorHAnsi" w:hAnsiTheme="minorHAnsi" w:cstheme="minorHAnsi"/>
          <w:lang w:val="fr-FR" w:eastAsia="fr-FR"/>
        </w:rPr>
        <w:t>e</w:t>
      </w:r>
      <w:r>
        <w:rPr>
          <w:rFonts w:asciiTheme="minorHAnsi" w:hAnsiTheme="minorHAnsi" w:cstheme="minorHAnsi"/>
          <w:lang w:val="fr-FR" w:eastAsia="fr-FR"/>
        </w:rPr>
        <w:t xml:space="preserve"> en tenant compte de l’argumentation de l’expert d’un point de vue médical mais en tenant compte également d’un point de vue strictement juridique du fait que le taux d’incapacité ne pouvait être inférieur à celui retenu par le MEDEX, qu’il y a lieu d’entériner les conclusions du rapport d’expertise sous réserve qu’un taux d’incapacité permanente partielle de 6 % doit être reconnu à </w:t>
      </w:r>
      <w:r w:rsidR="00447DB5">
        <w:rPr>
          <w:rFonts w:asciiTheme="minorHAnsi" w:hAnsiTheme="minorHAnsi" w:cstheme="minorHAnsi"/>
          <w:lang w:val="fr-FR" w:eastAsia="fr-FR"/>
        </w:rPr>
        <w:t xml:space="preserve">Madame </w:t>
      </w:r>
      <w:r w:rsidR="003C0129">
        <w:rPr>
          <w:rFonts w:asciiTheme="minorHAnsi" w:hAnsiTheme="minorHAnsi" w:cstheme="minorHAnsi"/>
          <w:lang w:val="fr-FR" w:eastAsia="fr-FR"/>
        </w:rPr>
        <w:t>D</w:t>
      </w:r>
      <w:r>
        <w:rPr>
          <w:rFonts w:asciiTheme="minorHAnsi" w:hAnsiTheme="minorHAnsi" w:cstheme="minorHAnsi"/>
          <w:lang w:val="fr-FR" w:eastAsia="fr-FR"/>
        </w:rPr>
        <w:t xml:space="preserve"> à dater du 1</w:t>
      </w:r>
      <w:r w:rsidRPr="00FA23BE">
        <w:rPr>
          <w:rFonts w:asciiTheme="minorHAnsi" w:hAnsiTheme="minorHAnsi" w:cstheme="minorHAnsi"/>
          <w:vertAlign w:val="superscript"/>
          <w:lang w:val="fr-FR" w:eastAsia="fr-FR"/>
        </w:rPr>
        <w:t>er</w:t>
      </w:r>
      <w:r>
        <w:rPr>
          <w:rFonts w:asciiTheme="minorHAnsi" w:hAnsiTheme="minorHAnsi" w:cstheme="minorHAnsi"/>
          <w:lang w:val="fr-FR" w:eastAsia="fr-FR"/>
        </w:rPr>
        <w:t xml:space="preserve"> mai 2012.</w:t>
      </w:r>
    </w:p>
    <w:p w14:paraId="2EB8CD50" w14:textId="77777777" w:rsidR="00FA23BE" w:rsidRDefault="00FA23BE" w:rsidP="00FA23BE">
      <w:pPr>
        <w:jc w:val="both"/>
        <w:rPr>
          <w:rFonts w:asciiTheme="minorHAnsi" w:hAnsiTheme="minorHAnsi" w:cstheme="minorHAnsi"/>
          <w:lang w:val="fr-FR" w:eastAsia="fr-FR"/>
        </w:rPr>
      </w:pPr>
    </w:p>
    <w:p w14:paraId="35582E79" w14:textId="0DE863F7" w:rsidR="00FA23BE" w:rsidRDefault="00FA23BE" w:rsidP="00FA23BE">
      <w:pPr>
        <w:jc w:val="both"/>
        <w:rPr>
          <w:rFonts w:asciiTheme="minorHAnsi" w:hAnsiTheme="minorHAnsi" w:cstheme="minorHAnsi"/>
          <w:lang w:val="fr-FR" w:eastAsia="fr-FR"/>
        </w:rPr>
      </w:pPr>
      <w:r>
        <w:rPr>
          <w:rFonts w:asciiTheme="minorHAnsi" w:hAnsiTheme="minorHAnsi" w:cstheme="minorHAnsi"/>
          <w:lang w:val="fr-FR" w:eastAsia="fr-FR"/>
        </w:rPr>
        <w:t>Le salaire de base est fixé à 32.807,77 € limités au plafond légal de 24.332,08 euro</w:t>
      </w:r>
      <w:r w:rsidR="00B9506C">
        <w:rPr>
          <w:rFonts w:asciiTheme="minorHAnsi" w:hAnsiTheme="minorHAnsi" w:cstheme="minorHAnsi"/>
          <w:lang w:val="fr-FR" w:eastAsia="fr-FR"/>
        </w:rPr>
        <w:t>s</w:t>
      </w:r>
      <w:r>
        <w:rPr>
          <w:rFonts w:asciiTheme="minorHAnsi" w:hAnsiTheme="minorHAnsi" w:cstheme="minorHAnsi"/>
          <w:lang w:val="fr-FR" w:eastAsia="fr-FR"/>
        </w:rPr>
        <w:t>.</w:t>
      </w:r>
    </w:p>
    <w:p w14:paraId="171755BA" w14:textId="5B6CAB42" w:rsidR="00ED1C59" w:rsidRPr="00FA23BE" w:rsidRDefault="00ED1C59" w:rsidP="00FA23BE">
      <w:pPr>
        <w:jc w:val="both"/>
        <w:rPr>
          <w:rFonts w:asciiTheme="minorHAnsi" w:hAnsiTheme="minorHAnsi" w:cstheme="minorHAnsi"/>
          <w:bCs/>
          <w:lang w:val="fr-FR"/>
        </w:rPr>
      </w:pPr>
    </w:p>
    <w:p w14:paraId="75408C3F" w14:textId="77777777" w:rsidR="00ED1C59" w:rsidRPr="000412D8" w:rsidRDefault="00ED1C59" w:rsidP="00ED1C59">
      <w:pPr>
        <w:pStyle w:val="Textebrut"/>
        <w:tabs>
          <w:tab w:val="left" w:pos="1843"/>
        </w:tabs>
        <w:jc w:val="both"/>
        <w:rPr>
          <w:rFonts w:asciiTheme="minorHAnsi" w:hAnsiTheme="minorHAnsi" w:cstheme="minorHAnsi"/>
          <w:sz w:val="24"/>
          <w:szCs w:val="24"/>
        </w:rPr>
      </w:pPr>
    </w:p>
    <w:p w14:paraId="48513842" w14:textId="4E1DA4F0" w:rsidR="00ED1C59" w:rsidRPr="000412D8" w:rsidRDefault="00ED1C59" w:rsidP="00ED1C59">
      <w:pPr>
        <w:jc w:val="both"/>
        <w:rPr>
          <w:rFonts w:asciiTheme="minorHAnsi" w:hAnsiTheme="minorHAnsi" w:cstheme="minorHAnsi"/>
          <w:b/>
          <w:snapToGrid w:val="0"/>
          <w:u w:val="single"/>
          <w:lang w:eastAsia="fr-FR"/>
        </w:rPr>
      </w:pPr>
      <w:r w:rsidRPr="000412D8">
        <w:rPr>
          <w:rFonts w:asciiTheme="minorHAnsi" w:hAnsiTheme="minorHAnsi" w:cstheme="minorHAnsi"/>
          <w:b/>
          <w:snapToGrid w:val="0"/>
          <w:u w:val="single"/>
          <w:lang w:eastAsia="fr-FR"/>
        </w:rPr>
        <w:t>PA</w:t>
      </w:r>
      <w:r w:rsidR="000C446B">
        <w:rPr>
          <w:rFonts w:asciiTheme="minorHAnsi" w:hAnsiTheme="minorHAnsi" w:cstheme="minorHAnsi"/>
          <w:b/>
          <w:snapToGrid w:val="0"/>
          <w:u w:val="single"/>
          <w:lang w:eastAsia="fr-FR"/>
        </w:rPr>
        <w:t>R</w:t>
      </w:r>
      <w:r w:rsidRPr="000412D8">
        <w:rPr>
          <w:rFonts w:asciiTheme="minorHAnsi" w:hAnsiTheme="minorHAnsi" w:cstheme="minorHAnsi"/>
          <w:b/>
          <w:snapToGrid w:val="0"/>
          <w:u w:val="single"/>
          <w:lang w:eastAsia="fr-FR"/>
        </w:rPr>
        <w:t xml:space="preserve"> CES MOTIFS, </w:t>
      </w:r>
    </w:p>
    <w:p w14:paraId="6EE8210D" w14:textId="77777777" w:rsidR="00ED1C59" w:rsidRPr="000412D8" w:rsidRDefault="00ED1C59" w:rsidP="00ED1C59">
      <w:pPr>
        <w:jc w:val="both"/>
        <w:rPr>
          <w:rFonts w:asciiTheme="minorHAnsi" w:hAnsiTheme="minorHAnsi" w:cstheme="minorHAnsi"/>
          <w:snapToGrid w:val="0"/>
          <w:lang w:eastAsia="fr-FR"/>
        </w:rPr>
      </w:pPr>
    </w:p>
    <w:p w14:paraId="5A48F133" w14:textId="2EAA60E2" w:rsidR="00ED1C59" w:rsidRDefault="00ED1C59" w:rsidP="00ED1C59">
      <w:pPr>
        <w:jc w:val="both"/>
        <w:rPr>
          <w:rFonts w:asciiTheme="minorHAnsi" w:hAnsiTheme="minorHAnsi" w:cstheme="minorHAnsi"/>
          <w:b/>
          <w:snapToGrid w:val="0"/>
          <w:lang w:eastAsia="fr-FR"/>
        </w:rPr>
      </w:pPr>
      <w:r w:rsidRPr="000412D8">
        <w:rPr>
          <w:rFonts w:asciiTheme="minorHAnsi" w:hAnsiTheme="minorHAnsi" w:cstheme="minorHAnsi"/>
          <w:b/>
          <w:snapToGrid w:val="0"/>
          <w:lang w:eastAsia="fr-FR"/>
        </w:rPr>
        <w:t xml:space="preserve">LE TRIBUNAL, statuant </w:t>
      </w:r>
      <w:r w:rsidR="00FA23BE">
        <w:rPr>
          <w:rFonts w:asciiTheme="minorHAnsi" w:hAnsiTheme="minorHAnsi" w:cstheme="minorHAnsi"/>
          <w:b/>
          <w:snapToGrid w:val="0"/>
          <w:lang w:eastAsia="fr-FR"/>
        </w:rPr>
        <w:t>publiquement et contradictoirement ;</w:t>
      </w:r>
    </w:p>
    <w:p w14:paraId="5BDA876A" w14:textId="6989DD39" w:rsidR="00FA23BE" w:rsidRDefault="00FA23BE" w:rsidP="00ED1C59">
      <w:pPr>
        <w:jc w:val="both"/>
        <w:rPr>
          <w:rFonts w:asciiTheme="minorHAnsi" w:hAnsiTheme="minorHAnsi" w:cstheme="minorHAnsi"/>
          <w:b/>
          <w:snapToGrid w:val="0"/>
          <w:lang w:eastAsia="fr-FR"/>
        </w:rPr>
      </w:pPr>
    </w:p>
    <w:p w14:paraId="68F8CD3D" w14:textId="16DCB1F0" w:rsidR="00FA23BE" w:rsidRPr="00FA23BE" w:rsidRDefault="00FA23BE" w:rsidP="00ED1C59">
      <w:pPr>
        <w:jc w:val="both"/>
        <w:rPr>
          <w:rFonts w:asciiTheme="minorHAnsi" w:hAnsiTheme="minorHAnsi" w:cstheme="minorHAnsi"/>
          <w:bCs/>
          <w:snapToGrid w:val="0"/>
          <w:lang w:eastAsia="fr-FR"/>
        </w:rPr>
      </w:pPr>
      <w:r>
        <w:rPr>
          <w:rFonts w:asciiTheme="minorHAnsi" w:hAnsiTheme="minorHAnsi" w:cstheme="minorHAnsi"/>
          <w:b/>
          <w:snapToGrid w:val="0"/>
          <w:lang w:eastAsia="fr-FR"/>
        </w:rPr>
        <w:t xml:space="preserve">Entérine </w:t>
      </w:r>
      <w:r w:rsidRPr="00FA23BE">
        <w:rPr>
          <w:rFonts w:asciiTheme="minorHAnsi" w:hAnsiTheme="minorHAnsi" w:cstheme="minorHAnsi"/>
          <w:bCs/>
          <w:snapToGrid w:val="0"/>
          <w:lang w:eastAsia="fr-FR"/>
        </w:rPr>
        <w:t>les conclusions du rapport d’expertise en ce qu’il retient</w:t>
      </w:r>
      <w:r w:rsidR="00B9506C">
        <w:rPr>
          <w:rFonts w:asciiTheme="minorHAnsi" w:hAnsiTheme="minorHAnsi" w:cstheme="minorHAnsi"/>
          <w:bCs/>
          <w:snapToGrid w:val="0"/>
          <w:lang w:eastAsia="fr-FR"/>
        </w:rPr>
        <w:t> :</w:t>
      </w:r>
    </w:p>
    <w:p w14:paraId="3E5027D8" w14:textId="24155F6A" w:rsidR="00FA23BE" w:rsidRPr="00FA23BE" w:rsidRDefault="00FA23BE" w:rsidP="00ED1C59">
      <w:pPr>
        <w:jc w:val="both"/>
        <w:rPr>
          <w:rFonts w:asciiTheme="minorHAnsi" w:hAnsiTheme="minorHAnsi" w:cstheme="minorHAnsi"/>
          <w:bCs/>
          <w:snapToGrid w:val="0"/>
          <w:lang w:eastAsia="fr-FR"/>
        </w:rPr>
      </w:pPr>
    </w:p>
    <w:p w14:paraId="62FA2618" w14:textId="26ECDBF5" w:rsidR="00FA23BE" w:rsidRPr="00FA23BE" w:rsidRDefault="00FA23BE" w:rsidP="00FA23BE">
      <w:pPr>
        <w:pStyle w:val="Paragraphedeliste"/>
        <w:numPr>
          <w:ilvl w:val="0"/>
          <w:numId w:val="8"/>
        </w:numPr>
        <w:jc w:val="both"/>
        <w:rPr>
          <w:rFonts w:asciiTheme="minorHAnsi" w:hAnsiTheme="minorHAnsi" w:cstheme="minorHAnsi"/>
          <w:bCs/>
          <w:snapToGrid w:val="0"/>
          <w:lang w:eastAsia="fr-FR"/>
        </w:rPr>
      </w:pPr>
      <w:r w:rsidRPr="00FA23BE">
        <w:rPr>
          <w:rFonts w:asciiTheme="minorHAnsi" w:hAnsiTheme="minorHAnsi" w:cstheme="minorHAnsi"/>
          <w:bCs/>
          <w:snapToGrid w:val="0"/>
          <w:lang w:eastAsia="fr-FR"/>
        </w:rPr>
        <w:t>100 % d’incapacité temporaire du 8/</w:t>
      </w:r>
      <w:r w:rsidR="00B9506C">
        <w:rPr>
          <w:rFonts w:asciiTheme="minorHAnsi" w:hAnsiTheme="minorHAnsi" w:cstheme="minorHAnsi"/>
          <w:bCs/>
          <w:snapToGrid w:val="0"/>
          <w:lang w:eastAsia="fr-FR"/>
        </w:rPr>
        <w:t>1</w:t>
      </w:r>
      <w:r w:rsidRPr="00FA23BE">
        <w:rPr>
          <w:rFonts w:asciiTheme="minorHAnsi" w:hAnsiTheme="minorHAnsi" w:cstheme="minorHAnsi"/>
          <w:bCs/>
          <w:snapToGrid w:val="0"/>
          <w:lang w:eastAsia="fr-FR"/>
        </w:rPr>
        <w:t>/2012 au 11/3/2012</w:t>
      </w:r>
    </w:p>
    <w:p w14:paraId="3A22BEC2" w14:textId="502807AC" w:rsidR="00FA23BE" w:rsidRPr="00FA23BE" w:rsidRDefault="00FA23BE" w:rsidP="00FA23BE">
      <w:pPr>
        <w:pStyle w:val="Paragraphedeliste"/>
        <w:numPr>
          <w:ilvl w:val="0"/>
          <w:numId w:val="8"/>
        </w:numPr>
        <w:jc w:val="both"/>
        <w:rPr>
          <w:rFonts w:asciiTheme="minorHAnsi" w:hAnsiTheme="minorHAnsi" w:cstheme="minorHAnsi"/>
          <w:bCs/>
          <w:snapToGrid w:val="0"/>
          <w:lang w:eastAsia="fr-FR"/>
        </w:rPr>
      </w:pPr>
      <w:r w:rsidRPr="00FA23BE">
        <w:rPr>
          <w:rFonts w:asciiTheme="minorHAnsi" w:hAnsiTheme="minorHAnsi" w:cstheme="minorHAnsi"/>
          <w:bCs/>
          <w:snapToGrid w:val="0"/>
          <w:lang w:eastAsia="fr-FR"/>
        </w:rPr>
        <w:t>50 % d’incapacité</w:t>
      </w:r>
      <w:r w:rsidR="00B9506C">
        <w:rPr>
          <w:rFonts w:asciiTheme="minorHAnsi" w:hAnsiTheme="minorHAnsi" w:cstheme="minorHAnsi"/>
          <w:bCs/>
          <w:snapToGrid w:val="0"/>
          <w:lang w:eastAsia="fr-FR"/>
        </w:rPr>
        <w:t xml:space="preserve"> temporaire</w:t>
      </w:r>
      <w:r w:rsidRPr="00FA23BE">
        <w:rPr>
          <w:rFonts w:asciiTheme="minorHAnsi" w:hAnsiTheme="minorHAnsi" w:cstheme="minorHAnsi"/>
          <w:bCs/>
          <w:snapToGrid w:val="0"/>
          <w:lang w:eastAsia="fr-FR"/>
        </w:rPr>
        <w:t xml:space="preserve"> du 12/3/2012 au 30/4/2012</w:t>
      </w:r>
    </w:p>
    <w:p w14:paraId="097FA4FB" w14:textId="0367C440" w:rsidR="00FA23BE" w:rsidRPr="00FA23BE" w:rsidRDefault="00FA23BE" w:rsidP="00FA23BE">
      <w:pPr>
        <w:pStyle w:val="Paragraphedeliste"/>
        <w:numPr>
          <w:ilvl w:val="0"/>
          <w:numId w:val="8"/>
        </w:numPr>
        <w:jc w:val="both"/>
        <w:rPr>
          <w:rFonts w:asciiTheme="minorHAnsi" w:hAnsiTheme="minorHAnsi" w:cstheme="minorHAnsi"/>
          <w:bCs/>
          <w:snapToGrid w:val="0"/>
          <w:lang w:eastAsia="fr-FR"/>
        </w:rPr>
      </w:pPr>
      <w:r w:rsidRPr="00FA23BE">
        <w:rPr>
          <w:rFonts w:asciiTheme="minorHAnsi" w:hAnsiTheme="minorHAnsi" w:cstheme="minorHAnsi"/>
          <w:bCs/>
          <w:snapToGrid w:val="0"/>
          <w:lang w:eastAsia="fr-FR"/>
        </w:rPr>
        <w:t>le 1/5/2012 comme date de consolidation</w:t>
      </w:r>
    </w:p>
    <w:p w14:paraId="22208B9A" w14:textId="6A398A39" w:rsidR="00FA23BE" w:rsidRDefault="00FA23BE" w:rsidP="00FA23BE">
      <w:pPr>
        <w:jc w:val="both"/>
        <w:rPr>
          <w:rFonts w:asciiTheme="minorHAnsi" w:hAnsiTheme="minorHAnsi" w:cstheme="minorHAnsi"/>
          <w:b/>
          <w:snapToGrid w:val="0"/>
          <w:lang w:eastAsia="fr-FR"/>
        </w:rPr>
      </w:pPr>
    </w:p>
    <w:p w14:paraId="3C78AA70" w14:textId="3972A152" w:rsidR="00FA23BE" w:rsidRPr="00FA23BE" w:rsidRDefault="00FA23BE" w:rsidP="00FA23BE">
      <w:pPr>
        <w:jc w:val="both"/>
        <w:rPr>
          <w:rFonts w:asciiTheme="minorHAnsi" w:hAnsiTheme="minorHAnsi" w:cstheme="minorHAnsi"/>
          <w:bCs/>
          <w:snapToGrid w:val="0"/>
          <w:lang w:eastAsia="fr-FR"/>
        </w:rPr>
      </w:pPr>
      <w:r>
        <w:rPr>
          <w:rFonts w:asciiTheme="minorHAnsi" w:hAnsiTheme="minorHAnsi" w:cstheme="minorHAnsi"/>
          <w:b/>
          <w:snapToGrid w:val="0"/>
          <w:lang w:eastAsia="fr-FR"/>
        </w:rPr>
        <w:t xml:space="preserve">Écarte </w:t>
      </w:r>
      <w:r w:rsidRPr="00FA23BE">
        <w:rPr>
          <w:rFonts w:asciiTheme="minorHAnsi" w:hAnsiTheme="minorHAnsi" w:cstheme="minorHAnsi"/>
          <w:bCs/>
          <w:snapToGrid w:val="0"/>
          <w:lang w:eastAsia="fr-FR"/>
        </w:rPr>
        <w:t>les conclusions du rapport en ce qu’il ne retient pas d’incapacité permanente et</w:t>
      </w:r>
    </w:p>
    <w:p w14:paraId="43A7370B" w14:textId="52F2BA7F" w:rsidR="00FA23BE" w:rsidRPr="00FA23BE" w:rsidRDefault="00FA23BE" w:rsidP="00FA23BE">
      <w:pPr>
        <w:jc w:val="both"/>
        <w:rPr>
          <w:rFonts w:asciiTheme="minorHAnsi" w:hAnsiTheme="minorHAnsi" w:cstheme="minorHAnsi"/>
          <w:bCs/>
          <w:snapToGrid w:val="0"/>
          <w:lang w:eastAsia="fr-FR"/>
        </w:rPr>
      </w:pPr>
      <w:r w:rsidRPr="00FA23BE">
        <w:rPr>
          <w:rFonts w:asciiTheme="minorHAnsi" w:hAnsiTheme="minorHAnsi" w:cstheme="minorHAnsi"/>
          <w:bCs/>
          <w:snapToGrid w:val="0"/>
          <w:lang w:eastAsia="fr-FR"/>
        </w:rPr>
        <w:t>fixe à 6 % le taux d’incapacité permanente partielle à dater du 1/5/2012</w:t>
      </w:r>
    </w:p>
    <w:p w14:paraId="44E97626" w14:textId="4B666BBE" w:rsidR="00FA23BE" w:rsidRPr="00FA23BE" w:rsidRDefault="00FA23BE" w:rsidP="00FA23BE">
      <w:pPr>
        <w:jc w:val="both"/>
        <w:rPr>
          <w:rFonts w:asciiTheme="minorHAnsi" w:hAnsiTheme="minorHAnsi" w:cstheme="minorHAnsi"/>
          <w:bCs/>
          <w:snapToGrid w:val="0"/>
          <w:lang w:eastAsia="fr-FR"/>
        </w:rPr>
      </w:pPr>
    </w:p>
    <w:p w14:paraId="33402CFE" w14:textId="77BF188F" w:rsidR="00FA23BE" w:rsidRPr="00FA23BE" w:rsidRDefault="00FA23BE" w:rsidP="00FA23BE">
      <w:pPr>
        <w:jc w:val="both"/>
        <w:rPr>
          <w:rFonts w:asciiTheme="minorHAnsi" w:hAnsiTheme="minorHAnsi" w:cstheme="minorHAnsi"/>
          <w:bCs/>
          <w:snapToGrid w:val="0"/>
          <w:lang w:eastAsia="fr-FR"/>
        </w:rPr>
      </w:pPr>
      <w:r>
        <w:rPr>
          <w:rFonts w:asciiTheme="minorHAnsi" w:hAnsiTheme="minorHAnsi" w:cstheme="minorHAnsi"/>
          <w:b/>
          <w:snapToGrid w:val="0"/>
          <w:lang w:eastAsia="fr-FR"/>
        </w:rPr>
        <w:t xml:space="preserve">Condamne </w:t>
      </w:r>
      <w:r w:rsidR="0065284F">
        <w:rPr>
          <w:rFonts w:asciiTheme="minorHAnsi" w:hAnsiTheme="minorHAnsi" w:cstheme="minorHAnsi"/>
          <w:bCs/>
          <w:snapToGrid w:val="0"/>
          <w:lang w:eastAsia="fr-FR"/>
        </w:rPr>
        <w:t>le CHU</w:t>
      </w:r>
      <w:r w:rsidRPr="00FA23BE">
        <w:rPr>
          <w:rFonts w:asciiTheme="minorHAnsi" w:hAnsiTheme="minorHAnsi" w:cstheme="minorHAnsi"/>
          <w:bCs/>
          <w:snapToGrid w:val="0"/>
          <w:lang w:eastAsia="fr-FR"/>
        </w:rPr>
        <w:t xml:space="preserve"> au paiement des indemnités légales sur ce</w:t>
      </w:r>
      <w:r w:rsidR="00B9506C">
        <w:rPr>
          <w:rFonts w:asciiTheme="minorHAnsi" w:hAnsiTheme="minorHAnsi" w:cstheme="minorHAnsi"/>
          <w:bCs/>
          <w:snapToGrid w:val="0"/>
          <w:lang w:eastAsia="fr-FR"/>
        </w:rPr>
        <w:t>s</w:t>
      </w:r>
      <w:r w:rsidRPr="00FA23BE">
        <w:rPr>
          <w:rFonts w:asciiTheme="minorHAnsi" w:hAnsiTheme="minorHAnsi" w:cstheme="minorHAnsi"/>
          <w:bCs/>
          <w:snapToGrid w:val="0"/>
          <w:lang w:eastAsia="fr-FR"/>
        </w:rPr>
        <w:t xml:space="preserve"> base</w:t>
      </w:r>
      <w:r w:rsidR="00B9506C">
        <w:rPr>
          <w:rFonts w:asciiTheme="minorHAnsi" w:hAnsiTheme="minorHAnsi" w:cstheme="minorHAnsi"/>
          <w:bCs/>
          <w:snapToGrid w:val="0"/>
          <w:lang w:eastAsia="fr-FR"/>
        </w:rPr>
        <w:t>s</w:t>
      </w:r>
      <w:r w:rsidRPr="00FA23BE">
        <w:rPr>
          <w:rFonts w:asciiTheme="minorHAnsi" w:hAnsiTheme="minorHAnsi" w:cstheme="minorHAnsi"/>
          <w:bCs/>
          <w:snapToGrid w:val="0"/>
          <w:lang w:eastAsia="fr-FR"/>
        </w:rPr>
        <w:t xml:space="preserve"> en tenant compte de la rémunération de base fixée à 32.807,77 € limité</w:t>
      </w:r>
      <w:r w:rsidR="00B9506C">
        <w:rPr>
          <w:rFonts w:asciiTheme="minorHAnsi" w:hAnsiTheme="minorHAnsi" w:cstheme="minorHAnsi"/>
          <w:bCs/>
          <w:snapToGrid w:val="0"/>
          <w:lang w:eastAsia="fr-FR"/>
        </w:rPr>
        <w:t>e</w:t>
      </w:r>
      <w:r w:rsidRPr="00FA23BE">
        <w:rPr>
          <w:rFonts w:asciiTheme="minorHAnsi" w:hAnsiTheme="minorHAnsi" w:cstheme="minorHAnsi"/>
          <w:bCs/>
          <w:snapToGrid w:val="0"/>
          <w:lang w:eastAsia="fr-FR"/>
        </w:rPr>
        <w:t xml:space="preserve"> au plafond légal de 24.332,08 euro</w:t>
      </w:r>
      <w:r>
        <w:rPr>
          <w:rFonts w:asciiTheme="minorHAnsi" w:hAnsiTheme="minorHAnsi" w:cstheme="minorHAnsi"/>
          <w:bCs/>
          <w:snapToGrid w:val="0"/>
          <w:lang w:eastAsia="fr-FR"/>
        </w:rPr>
        <w:t>s</w:t>
      </w:r>
      <w:r w:rsidRPr="00FA23BE">
        <w:rPr>
          <w:rFonts w:asciiTheme="minorHAnsi" w:hAnsiTheme="minorHAnsi" w:cstheme="minorHAnsi"/>
          <w:bCs/>
          <w:snapToGrid w:val="0"/>
          <w:lang w:eastAsia="fr-FR"/>
        </w:rPr>
        <w:t xml:space="preserve"> à l’indice pivot 138,01.</w:t>
      </w:r>
    </w:p>
    <w:p w14:paraId="7BD15AF9" w14:textId="299BEC68" w:rsidR="00FA23BE" w:rsidRDefault="00FA23BE" w:rsidP="00FA23BE">
      <w:pPr>
        <w:jc w:val="both"/>
        <w:rPr>
          <w:rFonts w:asciiTheme="minorHAnsi" w:hAnsiTheme="minorHAnsi" w:cstheme="minorHAnsi"/>
          <w:b/>
          <w:snapToGrid w:val="0"/>
          <w:lang w:eastAsia="fr-FR"/>
        </w:rPr>
      </w:pPr>
    </w:p>
    <w:p w14:paraId="5DC925A0" w14:textId="10EA631D" w:rsidR="00FA23BE" w:rsidRPr="00FA23BE" w:rsidRDefault="00FA23BE" w:rsidP="00FA23BE">
      <w:pPr>
        <w:jc w:val="both"/>
        <w:rPr>
          <w:rFonts w:asciiTheme="minorHAnsi" w:hAnsiTheme="minorHAnsi" w:cstheme="minorHAnsi"/>
          <w:bCs/>
          <w:snapToGrid w:val="0"/>
          <w:lang w:eastAsia="fr-FR"/>
        </w:rPr>
      </w:pPr>
      <w:r>
        <w:rPr>
          <w:rFonts w:asciiTheme="minorHAnsi" w:hAnsiTheme="minorHAnsi" w:cstheme="minorHAnsi"/>
          <w:b/>
          <w:snapToGrid w:val="0"/>
          <w:lang w:eastAsia="fr-FR"/>
        </w:rPr>
        <w:t xml:space="preserve">Condamne </w:t>
      </w:r>
      <w:r w:rsidR="0065284F">
        <w:rPr>
          <w:rFonts w:asciiTheme="minorHAnsi" w:hAnsiTheme="minorHAnsi" w:cstheme="minorHAnsi"/>
          <w:bCs/>
          <w:snapToGrid w:val="0"/>
          <w:lang w:eastAsia="fr-FR"/>
        </w:rPr>
        <w:t>le CHU</w:t>
      </w:r>
      <w:r w:rsidRPr="00FA23BE">
        <w:rPr>
          <w:rFonts w:asciiTheme="minorHAnsi" w:hAnsiTheme="minorHAnsi" w:cstheme="minorHAnsi"/>
          <w:bCs/>
          <w:snapToGrid w:val="0"/>
          <w:lang w:eastAsia="fr-FR"/>
        </w:rPr>
        <w:t xml:space="preserve"> aux dépens soit le coût du premier rapport d’expertise de 3849 € comme taxé le 3/8/2016, le coût du second rapport d’expertise de 5375 € comme taxé le 14/9/2021, les frais de citation de 108,64 € ainsi que l’indemnité de procédure liquidée à 306,10 </w:t>
      </w:r>
      <w:r w:rsidR="00B9506C" w:rsidRPr="00FA23BE">
        <w:rPr>
          <w:rFonts w:asciiTheme="minorHAnsi" w:hAnsiTheme="minorHAnsi" w:cstheme="minorHAnsi"/>
          <w:bCs/>
          <w:snapToGrid w:val="0"/>
          <w:lang w:eastAsia="fr-FR"/>
        </w:rPr>
        <w:t>€.</w:t>
      </w:r>
    </w:p>
    <w:p w14:paraId="3B5A0692" w14:textId="77777777" w:rsidR="00ED1C59" w:rsidRPr="000412D8" w:rsidRDefault="00ED1C59" w:rsidP="00ED1C59">
      <w:pPr>
        <w:jc w:val="both"/>
        <w:rPr>
          <w:rFonts w:asciiTheme="minorHAnsi" w:hAnsiTheme="minorHAnsi" w:cstheme="minorHAnsi"/>
          <w:snapToGrid w:val="0"/>
          <w:lang w:eastAsia="fr-FR"/>
        </w:rPr>
      </w:pPr>
    </w:p>
    <w:p w14:paraId="07BAEF1A" w14:textId="77777777" w:rsidR="00ED1C59" w:rsidRPr="000412D8" w:rsidRDefault="00ED1C59" w:rsidP="00ED1C59">
      <w:pPr>
        <w:jc w:val="both"/>
        <w:rPr>
          <w:rFonts w:asciiTheme="minorHAnsi" w:hAnsiTheme="minorHAnsi" w:cstheme="minorHAnsi"/>
          <w:snapToGrid w:val="0"/>
          <w:lang w:eastAsia="fr-FR"/>
        </w:rPr>
      </w:pPr>
    </w:p>
    <w:p w14:paraId="297366AE" w14:textId="77777777" w:rsidR="00ED1C59" w:rsidRPr="000412D8" w:rsidRDefault="00ED1C59" w:rsidP="00ED1C59">
      <w:pPr>
        <w:jc w:val="both"/>
        <w:rPr>
          <w:rFonts w:asciiTheme="minorHAnsi" w:hAnsiTheme="minorHAnsi" w:cstheme="minorHAnsi"/>
          <w:snapToGrid w:val="0"/>
          <w:lang w:eastAsia="fr-FR"/>
        </w:rPr>
      </w:pPr>
    </w:p>
    <w:p w14:paraId="4B36D775" w14:textId="77777777" w:rsidR="00ED1C59" w:rsidRPr="000412D8" w:rsidRDefault="00ED1C59" w:rsidP="00ED1C59">
      <w:pPr>
        <w:jc w:val="both"/>
        <w:rPr>
          <w:rFonts w:asciiTheme="minorHAnsi" w:hAnsiTheme="minorHAnsi" w:cstheme="minorHAnsi"/>
          <w:snapToGrid w:val="0"/>
          <w:lang w:eastAsia="fr-FR"/>
        </w:rPr>
      </w:pPr>
    </w:p>
    <w:p w14:paraId="11F490D4" w14:textId="77777777" w:rsidR="00ED1C59" w:rsidRPr="000412D8" w:rsidRDefault="00ED1C59" w:rsidP="00ED1C59">
      <w:pPr>
        <w:jc w:val="both"/>
        <w:rPr>
          <w:rFonts w:asciiTheme="minorHAnsi" w:hAnsiTheme="minorHAnsi" w:cstheme="minorHAnsi"/>
          <w:b/>
          <w:snapToGrid w:val="0"/>
          <w:lang w:eastAsia="fr-FR"/>
        </w:rPr>
      </w:pPr>
      <w:r w:rsidRPr="000412D8">
        <w:rPr>
          <w:rFonts w:asciiTheme="minorHAnsi" w:hAnsiTheme="minorHAnsi" w:cstheme="minorHAnsi"/>
          <w:b/>
          <w:snapToGrid w:val="0"/>
          <w:lang w:eastAsia="fr-FR"/>
        </w:rPr>
        <w:t xml:space="preserve">AINSI jugé par la </w:t>
      </w:r>
      <w:r w:rsidRPr="000412D8">
        <w:rPr>
          <w:rFonts w:asciiTheme="minorHAnsi" w:hAnsiTheme="minorHAnsi" w:cstheme="minorHAnsi"/>
          <w:b/>
        </w:rPr>
        <w:t>Quatrième chambre du Tribunal du Travail de Liège - Division Liège</w:t>
      </w:r>
      <w:r w:rsidRPr="000412D8">
        <w:rPr>
          <w:rFonts w:asciiTheme="minorHAnsi" w:hAnsiTheme="minorHAnsi" w:cstheme="minorHAnsi"/>
          <w:b/>
          <w:snapToGrid w:val="0"/>
          <w:lang w:eastAsia="fr-FR"/>
        </w:rPr>
        <w:t xml:space="preserve"> composée de:</w:t>
      </w:r>
    </w:p>
    <w:p w14:paraId="6E64C903" w14:textId="77777777" w:rsidR="00ED1C59" w:rsidRPr="000412D8" w:rsidRDefault="00ED1C59" w:rsidP="00ED1C59">
      <w:pPr>
        <w:jc w:val="both"/>
        <w:rPr>
          <w:rFonts w:asciiTheme="minorHAnsi" w:hAnsiTheme="minorHAnsi" w:cstheme="minorHAnsi"/>
          <w:snapToGrid w:val="0"/>
          <w:lang w:eastAsia="fr-FR"/>
        </w:rPr>
      </w:pPr>
      <w:r w:rsidRPr="000412D8">
        <w:rPr>
          <w:rFonts w:asciiTheme="minorHAnsi" w:hAnsiTheme="minorHAnsi" w:cstheme="minorHAnsi"/>
          <w:snapToGrid w:val="0"/>
          <w:lang w:eastAsia="fr-FR"/>
        </w:rPr>
        <w:tab/>
      </w:r>
      <w:r w:rsidRPr="000412D8">
        <w:rPr>
          <w:rFonts w:asciiTheme="minorHAnsi" w:hAnsiTheme="minorHAnsi" w:cstheme="minorHAnsi"/>
          <w:snapToGrid w:val="0"/>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43"/>
      </w:tblGrid>
      <w:tr w:rsidR="00ED1C59" w:rsidRPr="000412D8" w14:paraId="79BAA759" w14:textId="77777777" w:rsidTr="00D23B92">
        <w:trPr>
          <w:trHeight w:val="289"/>
        </w:trPr>
        <w:tc>
          <w:tcPr>
            <w:tcW w:w="4501" w:type="dxa"/>
          </w:tcPr>
          <w:p w14:paraId="2B807A8B" w14:textId="77777777" w:rsidR="00ED1C59" w:rsidRPr="000412D8" w:rsidRDefault="00ED1C59" w:rsidP="00D23B92">
            <w:pPr>
              <w:jc w:val="both"/>
              <w:rPr>
                <w:rFonts w:asciiTheme="minorHAnsi" w:hAnsiTheme="minorHAnsi" w:cstheme="minorHAnsi"/>
                <w:snapToGrid w:val="0"/>
                <w:lang w:eastAsia="fr-FR"/>
              </w:rPr>
            </w:pPr>
            <w:r w:rsidRPr="000412D8">
              <w:rPr>
                <w:rFonts w:asciiTheme="minorHAnsi" w:hAnsiTheme="minorHAnsi" w:cstheme="minorHAnsi"/>
                <w:snapToGrid w:val="0"/>
                <w:lang w:eastAsia="fr-FR"/>
              </w:rPr>
              <w:t>THIRION MONIQUE,</w:t>
            </w:r>
          </w:p>
        </w:tc>
        <w:tc>
          <w:tcPr>
            <w:tcW w:w="4501" w:type="dxa"/>
          </w:tcPr>
          <w:p w14:paraId="7AE9E31C" w14:textId="77777777" w:rsidR="00ED1C59" w:rsidRPr="000412D8" w:rsidRDefault="00ED1C59" w:rsidP="00D23B92">
            <w:pPr>
              <w:jc w:val="both"/>
              <w:rPr>
                <w:rFonts w:asciiTheme="minorHAnsi" w:hAnsiTheme="minorHAnsi" w:cstheme="minorHAnsi"/>
                <w:snapToGrid w:val="0"/>
                <w:lang w:eastAsia="fr-FR"/>
              </w:rPr>
            </w:pPr>
            <w:r w:rsidRPr="000412D8">
              <w:rPr>
                <w:rFonts w:asciiTheme="minorHAnsi" w:hAnsiTheme="minorHAnsi" w:cstheme="minorHAnsi"/>
                <w:snapToGrid w:val="0"/>
                <w:lang w:eastAsia="fr-FR"/>
              </w:rPr>
              <w:t>Juge,</w:t>
            </w:r>
          </w:p>
        </w:tc>
      </w:tr>
      <w:tr w:rsidR="00ED1C59" w:rsidRPr="000412D8" w14:paraId="4C3BF4DF" w14:textId="77777777" w:rsidTr="00D23B92">
        <w:trPr>
          <w:trHeight w:val="289"/>
        </w:trPr>
        <w:tc>
          <w:tcPr>
            <w:tcW w:w="4501" w:type="dxa"/>
          </w:tcPr>
          <w:p w14:paraId="08B2FD0B" w14:textId="77777777" w:rsidR="00ED1C59" w:rsidRPr="000412D8" w:rsidRDefault="00ED1C59" w:rsidP="00D23B92">
            <w:pPr>
              <w:jc w:val="both"/>
              <w:rPr>
                <w:rFonts w:asciiTheme="minorHAnsi" w:hAnsiTheme="minorHAnsi" w:cstheme="minorHAnsi"/>
                <w:snapToGrid w:val="0"/>
                <w:lang w:eastAsia="fr-FR"/>
              </w:rPr>
            </w:pPr>
            <w:r w:rsidRPr="000412D8">
              <w:rPr>
                <w:rFonts w:asciiTheme="minorHAnsi" w:hAnsiTheme="minorHAnsi" w:cstheme="minorHAnsi"/>
                <w:snapToGrid w:val="0"/>
                <w:lang w:eastAsia="fr-FR"/>
              </w:rPr>
              <w:lastRenderedPageBreak/>
              <w:t>MENDOLIA MIRELLA,</w:t>
            </w:r>
          </w:p>
        </w:tc>
        <w:tc>
          <w:tcPr>
            <w:tcW w:w="4501" w:type="dxa"/>
          </w:tcPr>
          <w:p w14:paraId="55A23E46" w14:textId="77777777" w:rsidR="00ED1C59" w:rsidRPr="000412D8" w:rsidRDefault="00ED1C59" w:rsidP="00D23B92">
            <w:pPr>
              <w:jc w:val="both"/>
              <w:rPr>
                <w:rFonts w:asciiTheme="minorHAnsi" w:hAnsiTheme="minorHAnsi" w:cstheme="minorHAnsi"/>
                <w:snapToGrid w:val="0"/>
                <w:lang w:eastAsia="fr-FR"/>
              </w:rPr>
            </w:pPr>
            <w:r w:rsidRPr="000412D8">
              <w:rPr>
                <w:rFonts w:asciiTheme="minorHAnsi" w:hAnsiTheme="minorHAnsi" w:cstheme="minorHAnsi"/>
                <w:snapToGrid w:val="0"/>
                <w:lang w:eastAsia="fr-FR"/>
              </w:rPr>
              <w:t>Juge social employeur,</w:t>
            </w:r>
          </w:p>
        </w:tc>
      </w:tr>
      <w:tr w:rsidR="00ED1C59" w:rsidRPr="000412D8" w14:paraId="42FC25D2" w14:textId="77777777" w:rsidTr="00D23B92">
        <w:trPr>
          <w:trHeight w:val="289"/>
        </w:trPr>
        <w:tc>
          <w:tcPr>
            <w:tcW w:w="4501" w:type="dxa"/>
          </w:tcPr>
          <w:p w14:paraId="332DE900" w14:textId="77777777" w:rsidR="00ED1C59" w:rsidRPr="000412D8" w:rsidRDefault="00ED1C59" w:rsidP="00D23B92">
            <w:pPr>
              <w:jc w:val="both"/>
              <w:rPr>
                <w:rFonts w:asciiTheme="minorHAnsi" w:hAnsiTheme="minorHAnsi" w:cstheme="minorHAnsi"/>
                <w:snapToGrid w:val="0"/>
                <w:lang w:eastAsia="fr-FR"/>
              </w:rPr>
            </w:pPr>
            <w:r w:rsidRPr="000412D8">
              <w:rPr>
                <w:rFonts w:asciiTheme="minorHAnsi" w:hAnsiTheme="minorHAnsi" w:cstheme="minorHAnsi"/>
                <w:snapToGrid w:val="0"/>
                <w:lang w:eastAsia="fr-FR"/>
              </w:rPr>
              <w:t>THIELMANNS ANDRE,</w:t>
            </w:r>
          </w:p>
        </w:tc>
        <w:tc>
          <w:tcPr>
            <w:tcW w:w="4501" w:type="dxa"/>
          </w:tcPr>
          <w:p w14:paraId="0350849D" w14:textId="77777777" w:rsidR="00ED1C59" w:rsidRPr="000412D8" w:rsidRDefault="00ED1C59" w:rsidP="00D23B92">
            <w:pPr>
              <w:jc w:val="both"/>
              <w:rPr>
                <w:rFonts w:asciiTheme="minorHAnsi" w:hAnsiTheme="minorHAnsi" w:cstheme="minorHAnsi"/>
                <w:snapToGrid w:val="0"/>
                <w:lang w:eastAsia="fr-FR"/>
              </w:rPr>
            </w:pPr>
            <w:r w:rsidRPr="000412D8">
              <w:rPr>
                <w:rFonts w:asciiTheme="minorHAnsi" w:hAnsiTheme="minorHAnsi" w:cstheme="minorHAnsi"/>
                <w:snapToGrid w:val="0"/>
                <w:lang w:eastAsia="fr-FR"/>
              </w:rPr>
              <w:t>Juge social employé,</w:t>
            </w:r>
          </w:p>
        </w:tc>
      </w:tr>
    </w:tbl>
    <w:p w14:paraId="5E43B844" w14:textId="77777777" w:rsidR="00ED1C59" w:rsidRPr="000412D8" w:rsidRDefault="00ED1C59" w:rsidP="00ED1C59">
      <w:pPr>
        <w:jc w:val="both"/>
        <w:rPr>
          <w:rFonts w:asciiTheme="minorHAnsi" w:hAnsiTheme="minorHAnsi" w:cstheme="minorHAnsi"/>
          <w:snapToGrid w:val="0"/>
          <w:lang w:eastAsia="fr-FR"/>
        </w:rPr>
      </w:pPr>
    </w:p>
    <w:p w14:paraId="6700E46A" w14:textId="77777777" w:rsidR="00ED1C59" w:rsidRPr="000412D8" w:rsidRDefault="00ED1C59" w:rsidP="00ED1C59">
      <w:pPr>
        <w:snapToGrid w:val="0"/>
        <w:jc w:val="center"/>
        <w:rPr>
          <w:rFonts w:asciiTheme="minorHAnsi" w:eastAsia="Times New Roman" w:hAnsiTheme="minorHAnsi" w:cstheme="minorHAnsi"/>
          <w:snapToGrid w:val="0"/>
          <w:lang w:val="fr-FR" w:eastAsia="fr-FR"/>
        </w:rPr>
      </w:pPr>
      <w:r w:rsidRPr="000412D8">
        <w:rPr>
          <w:rFonts w:asciiTheme="minorHAnsi" w:eastAsia="Times New Roman" w:hAnsiTheme="minorHAnsi" w:cstheme="minorHAnsi"/>
          <w:snapToGrid w:val="0"/>
          <w:lang w:val="fr-FR" w:eastAsia="fr-FR"/>
        </w:rPr>
        <w:t>Les Juges sociaux,</w:t>
      </w:r>
      <w:r w:rsidRPr="000412D8">
        <w:rPr>
          <w:rFonts w:asciiTheme="minorHAnsi" w:eastAsia="Times New Roman" w:hAnsiTheme="minorHAnsi" w:cstheme="minorHAnsi"/>
          <w:snapToGrid w:val="0"/>
          <w:lang w:val="fr-FR" w:eastAsia="fr-FR"/>
        </w:rPr>
        <w:tab/>
      </w:r>
      <w:r w:rsidRPr="000412D8">
        <w:rPr>
          <w:rFonts w:asciiTheme="minorHAnsi" w:eastAsia="Times New Roman" w:hAnsiTheme="minorHAnsi" w:cstheme="minorHAnsi"/>
          <w:snapToGrid w:val="0"/>
          <w:lang w:val="fr-FR" w:eastAsia="fr-FR"/>
        </w:rPr>
        <w:tab/>
      </w:r>
      <w:r w:rsidRPr="000412D8">
        <w:rPr>
          <w:rFonts w:asciiTheme="minorHAnsi" w:eastAsia="Times New Roman" w:hAnsiTheme="minorHAnsi" w:cstheme="minorHAnsi"/>
          <w:snapToGrid w:val="0"/>
          <w:lang w:val="fr-FR" w:eastAsia="fr-FR"/>
        </w:rPr>
        <w:tab/>
      </w:r>
      <w:r w:rsidRPr="000412D8">
        <w:rPr>
          <w:rFonts w:asciiTheme="minorHAnsi" w:eastAsia="Times New Roman" w:hAnsiTheme="minorHAnsi" w:cstheme="minorHAnsi"/>
          <w:snapToGrid w:val="0"/>
          <w:lang w:val="fr-FR" w:eastAsia="fr-FR"/>
        </w:rPr>
        <w:tab/>
      </w:r>
      <w:r w:rsidRPr="000412D8">
        <w:rPr>
          <w:rFonts w:asciiTheme="minorHAnsi" w:eastAsia="Times New Roman" w:hAnsiTheme="minorHAnsi" w:cstheme="minorHAnsi"/>
          <w:snapToGrid w:val="0"/>
          <w:lang w:val="fr-FR" w:eastAsia="fr-FR"/>
        </w:rPr>
        <w:tab/>
        <w:t>Le Juge,</w:t>
      </w:r>
    </w:p>
    <w:p w14:paraId="28479CF0" w14:textId="77777777" w:rsidR="00ED1C59" w:rsidRPr="000412D8" w:rsidRDefault="00ED1C59" w:rsidP="00ED1C59">
      <w:pPr>
        <w:jc w:val="both"/>
        <w:rPr>
          <w:rFonts w:asciiTheme="minorHAnsi" w:hAnsiTheme="minorHAnsi" w:cstheme="minorHAnsi"/>
          <w:snapToGrid w:val="0"/>
          <w:lang w:val="fr-FR" w:eastAsia="fr-FR"/>
        </w:rPr>
      </w:pPr>
    </w:p>
    <w:p w14:paraId="5E5C6247" w14:textId="77777777" w:rsidR="00ED1C59" w:rsidRDefault="00ED1C59" w:rsidP="00ED1C59">
      <w:pPr>
        <w:jc w:val="both"/>
        <w:rPr>
          <w:rFonts w:asciiTheme="minorHAnsi" w:hAnsiTheme="minorHAnsi" w:cstheme="minorHAnsi"/>
          <w:snapToGrid w:val="0"/>
          <w:lang w:val="fr-FR" w:eastAsia="fr-FR"/>
        </w:rPr>
      </w:pPr>
    </w:p>
    <w:p w14:paraId="19331563" w14:textId="77777777" w:rsidR="00ED1C59" w:rsidRPr="000412D8" w:rsidRDefault="00ED1C59" w:rsidP="00ED1C59">
      <w:pPr>
        <w:jc w:val="both"/>
        <w:rPr>
          <w:rFonts w:asciiTheme="minorHAnsi" w:hAnsiTheme="minorHAnsi" w:cstheme="minorHAnsi"/>
          <w:snapToGrid w:val="0"/>
          <w:lang w:val="fr-FR" w:eastAsia="fr-FR"/>
        </w:rPr>
      </w:pPr>
    </w:p>
    <w:p w14:paraId="57C83767" w14:textId="77777777" w:rsidR="00ED1C59" w:rsidRPr="000412D8" w:rsidRDefault="00ED1C59" w:rsidP="00ED1C59">
      <w:pPr>
        <w:jc w:val="both"/>
        <w:rPr>
          <w:rFonts w:asciiTheme="minorHAnsi" w:hAnsiTheme="minorHAnsi" w:cstheme="minorHAnsi"/>
          <w:snapToGrid w:val="0"/>
          <w:lang w:eastAsia="fr-FR"/>
        </w:rPr>
      </w:pPr>
    </w:p>
    <w:p w14:paraId="37024C5A" w14:textId="77777777" w:rsidR="00ED1C59" w:rsidRPr="000412D8" w:rsidRDefault="00ED1C59" w:rsidP="00ED1C59">
      <w:pPr>
        <w:jc w:val="both"/>
        <w:rPr>
          <w:rFonts w:asciiTheme="minorHAnsi" w:hAnsiTheme="minorHAnsi" w:cstheme="minorHAnsi"/>
          <w:snapToGrid w:val="0"/>
          <w:lang w:eastAsia="fr-FR"/>
        </w:rPr>
      </w:pPr>
    </w:p>
    <w:p w14:paraId="6E37DBAE" w14:textId="77777777" w:rsidR="00ED1C59" w:rsidRPr="000412D8" w:rsidRDefault="00ED1C59" w:rsidP="00ED1C59">
      <w:pPr>
        <w:jc w:val="both"/>
        <w:rPr>
          <w:rFonts w:asciiTheme="minorHAnsi" w:hAnsiTheme="minorHAnsi" w:cstheme="minorHAnsi"/>
          <w:b/>
          <w:lang w:val="fr-FR"/>
        </w:rPr>
      </w:pPr>
      <w:r w:rsidRPr="000412D8">
        <w:rPr>
          <w:rFonts w:asciiTheme="minorHAnsi" w:hAnsiTheme="minorHAnsi" w:cstheme="minorHAnsi"/>
          <w:snapToGrid w:val="0"/>
          <w:lang w:eastAsia="fr-FR"/>
        </w:rPr>
        <w:t xml:space="preserve">Et prononcé en langue française à l’audience publique de la même chambre le </w:t>
      </w:r>
      <w:sdt>
        <w:sdtPr>
          <w:rPr>
            <w:rFonts w:asciiTheme="minorHAnsi" w:hAnsiTheme="minorHAnsi" w:cstheme="minorHAnsi"/>
            <w:b/>
          </w:rPr>
          <w:id w:val="-662859851"/>
          <w:placeholder>
            <w:docPart w:val="9C8F72E9EABD498487C9162E28AEE433"/>
          </w:placeholder>
          <w:date w:fullDate="2023-01-16T00:00:00Z">
            <w:dateFormat w:val="dd/MM/yyyy"/>
            <w:lid w:val="fr-BE"/>
            <w:storeMappedDataAs w:val="dateTime"/>
            <w:calendar w:val="gregorian"/>
          </w:date>
        </w:sdtPr>
        <w:sdtEndPr/>
        <w:sdtContent>
          <w:r w:rsidRPr="000412D8">
            <w:rPr>
              <w:rFonts w:asciiTheme="minorHAnsi" w:hAnsiTheme="minorHAnsi" w:cstheme="minorHAnsi"/>
              <w:b/>
            </w:rPr>
            <w:t>16/01/2023</w:t>
          </w:r>
        </w:sdtContent>
      </w:sdt>
      <w:r>
        <w:rPr>
          <w:rFonts w:asciiTheme="minorHAnsi" w:hAnsiTheme="minorHAnsi" w:cstheme="minorHAnsi"/>
          <w:b/>
        </w:rPr>
        <w:t xml:space="preserve"> </w:t>
      </w:r>
      <w:r w:rsidRPr="000412D8">
        <w:rPr>
          <w:rFonts w:asciiTheme="minorHAnsi" w:hAnsiTheme="minorHAnsi" w:cstheme="minorHAnsi"/>
          <w:b/>
          <w:snapToGrid w:val="0"/>
          <w:lang w:eastAsia="fr-FR"/>
        </w:rPr>
        <w:t>par THIRION MONIQUE,</w:t>
      </w:r>
      <w:r w:rsidRPr="000412D8">
        <w:rPr>
          <w:rFonts w:asciiTheme="minorHAnsi" w:hAnsiTheme="minorHAnsi" w:cstheme="minorHAnsi"/>
          <w:snapToGrid w:val="0"/>
          <w:lang w:eastAsia="fr-FR"/>
        </w:rPr>
        <w:t xml:space="preserve"> Juge, assistée de</w:t>
      </w:r>
      <w:r w:rsidRPr="000412D8">
        <w:rPr>
          <w:rFonts w:asciiTheme="minorHAnsi" w:hAnsiTheme="minorHAnsi" w:cstheme="minorHAnsi"/>
          <w:b/>
          <w:snapToGrid w:val="0"/>
          <w:lang w:eastAsia="fr-FR"/>
        </w:rPr>
        <w:t xml:space="preserve"> MASSART MICHELE, Greffier,</w:t>
      </w:r>
    </w:p>
    <w:p w14:paraId="6FF38AE2" w14:textId="77777777" w:rsidR="00ED1C59" w:rsidRPr="000412D8" w:rsidRDefault="00ED1C59" w:rsidP="00ED1C59">
      <w:pPr>
        <w:jc w:val="both"/>
        <w:rPr>
          <w:rFonts w:asciiTheme="minorHAnsi" w:hAnsiTheme="minorHAnsi" w:cstheme="minorHAnsi"/>
          <w:b/>
          <w:snapToGrid w:val="0"/>
          <w:lang w:eastAsia="fr-FR"/>
        </w:rPr>
      </w:pPr>
    </w:p>
    <w:p w14:paraId="6D23F6DC" w14:textId="77777777" w:rsidR="00ED1C59" w:rsidRPr="000412D8" w:rsidRDefault="00ED1C59" w:rsidP="00ED1C59">
      <w:pPr>
        <w:snapToGrid w:val="0"/>
        <w:jc w:val="center"/>
        <w:rPr>
          <w:rFonts w:asciiTheme="minorHAnsi" w:eastAsia="Times New Roman" w:hAnsiTheme="minorHAnsi" w:cstheme="minorHAnsi"/>
          <w:snapToGrid w:val="0"/>
          <w:lang w:val="fr-FR" w:eastAsia="fr-FR"/>
        </w:rPr>
      </w:pPr>
      <w:r w:rsidRPr="000412D8">
        <w:rPr>
          <w:rFonts w:asciiTheme="minorHAnsi" w:eastAsia="Times New Roman" w:hAnsiTheme="minorHAnsi" w:cstheme="minorHAnsi"/>
          <w:snapToGrid w:val="0"/>
          <w:lang w:val="fr-FR" w:eastAsia="fr-FR"/>
        </w:rPr>
        <w:t>Le Greffier,</w:t>
      </w:r>
      <w:r w:rsidRPr="000412D8">
        <w:rPr>
          <w:rFonts w:asciiTheme="minorHAnsi" w:eastAsia="Times New Roman" w:hAnsiTheme="minorHAnsi" w:cstheme="minorHAnsi"/>
          <w:snapToGrid w:val="0"/>
          <w:lang w:val="fr-FR" w:eastAsia="fr-FR"/>
        </w:rPr>
        <w:tab/>
      </w:r>
      <w:r w:rsidRPr="000412D8">
        <w:rPr>
          <w:rFonts w:asciiTheme="minorHAnsi" w:eastAsia="Times New Roman" w:hAnsiTheme="minorHAnsi" w:cstheme="minorHAnsi"/>
          <w:snapToGrid w:val="0"/>
          <w:lang w:val="fr-FR" w:eastAsia="fr-FR"/>
        </w:rPr>
        <w:tab/>
      </w:r>
      <w:r w:rsidRPr="000412D8">
        <w:rPr>
          <w:rFonts w:asciiTheme="minorHAnsi" w:eastAsia="Times New Roman" w:hAnsiTheme="minorHAnsi" w:cstheme="minorHAnsi"/>
          <w:snapToGrid w:val="0"/>
          <w:lang w:val="fr-FR" w:eastAsia="fr-FR"/>
        </w:rPr>
        <w:tab/>
      </w:r>
      <w:r w:rsidRPr="000412D8">
        <w:rPr>
          <w:rFonts w:asciiTheme="minorHAnsi" w:eastAsia="Times New Roman" w:hAnsiTheme="minorHAnsi" w:cstheme="minorHAnsi"/>
          <w:snapToGrid w:val="0"/>
          <w:lang w:val="fr-FR" w:eastAsia="fr-FR"/>
        </w:rPr>
        <w:tab/>
        <w:t>Le Juge.</w:t>
      </w:r>
    </w:p>
    <w:p w14:paraId="17C25261" w14:textId="77777777" w:rsidR="00ED1C59" w:rsidRPr="000412D8" w:rsidRDefault="00ED1C59" w:rsidP="00ED1C59">
      <w:pPr>
        <w:jc w:val="both"/>
        <w:rPr>
          <w:rFonts w:asciiTheme="minorHAnsi" w:hAnsiTheme="minorHAnsi" w:cstheme="minorHAnsi"/>
          <w:snapToGrid w:val="0"/>
          <w:lang w:eastAsia="fr-FR"/>
        </w:rPr>
      </w:pPr>
    </w:p>
    <w:p w14:paraId="14DF21D7" w14:textId="77777777" w:rsidR="00ED1C59" w:rsidRPr="000412D8" w:rsidRDefault="00ED1C59" w:rsidP="00ED1C59">
      <w:pPr>
        <w:jc w:val="both"/>
        <w:rPr>
          <w:rFonts w:asciiTheme="minorHAnsi" w:hAnsiTheme="minorHAnsi" w:cstheme="minorHAnsi"/>
          <w:snapToGrid w:val="0"/>
          <w:lang w:eastAsia="fr-FR"/>
        </w:rPr>
      </w:pPr>
    </w:p>
    <w:p w14:paraId="4F21FD56" w14:textId="77777777" w:rsidR="00ED1C59" w:rsidRPr="000412D8" w:rsidRDefault="00ED1C59" w:rsidP="00ED1C59">
      <w:pPr>
        <w:jc w:val="both"/>
        <w:rPr>
          <w:rFonts w:asciiTheme="minorHAnsi" w:hAnsiTheme="minorHAnsi" w:cstheme="minorHAnsi"/>
          <w:snapToGrid w:val="0"/>
          <w:lang w:eastAsia="fr-FR"/>
        </w:rPr>
      </w:pPr>
    </w:p>
    <w:p w14:paraId="6600A9FA" w14:textId="77777777" w:rsidR="00ED1C59" w:rsidRPr="000412D8" w:rsidRDefault="00ED1C59" w:rsidP="00ED1C59">
      <w:pPr>
        <w:jc w:val="both"/>
        <w:rPr>
          <w:rFonts w:asciiTheme="minorHAnsi" w:hAnsiTheme="minorHAnsi" w:cstheme="minorHAnsi"/>
          <w:snapToGrid w:val="0"/>
          <w:lang w:eastAsia="fr-FR"/>
        </w:rPr>
      </w:pPr>
    </w:p>
    <w:p w14:paraId="4285BE93" w14:textId="77777777" w:rsidR="005311A8" w:rsidRDefault="005311A8" w:rsidP="00AF4830">
      <w:pPr>
        <w:rPr>
          <w:rFonts w:asciiTheme="minorHAnsi" w:hAnsiTheme="minorHAnsi" w:cstheme="minorHAnsi"/>
          <w:b/>
          <w:bCs/>
          <w:color w:val="000000" w:themeColor="text1"/>
          <w:sz w:val="22"/>
          <w:szCs w:val="22"/>
          <w:u w:val="single"/>
          <w:lang w:val="fr-FR" w:bidi="fr-BE"/>
        </w:rPr>
      </w:pPr>
    </w:p>
    <w:bookmarkEnd w:id="0"/>
    <w:bookmarkEnd w:id="1"/>
    <w:sectPr w:rsidR="005311A8"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9D1E" w14:textId="77777777" w:rsidR="008206B3" w:rsidRDefault="008206B3">
      <w:r>
        <w:separator/>
      </w:r>
    </w:p>
  </w:endnote>
  <w:endnote w:type="continuationSeparator" w:id="0">
    <w:p w14:paraId="66736CC4"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1808" w14:textId="77777777" w:rsidR="008206B3" w:rsidRDefault="008206B3">
      <w:r>
        <w:separator/>
      </w:r>
    </w:p>
  </w:footnote>
  <w:footnote w:type="continuationSeparator" w:id="0">
    <w:p w14:paraId="2DF45854" w14:textId="77777777" w:rsidR="008206B3" w:rsidRDefault="008206B3">
      <w:r>
        <w:continuationSeparator/>
      </w:r>
    </w:p>
  </w:footnote>
  <w:footnote w:id="1">
    <w:p w14:paraId="05D51F35" w14:textId="405E64E0" w:rsidR="003D6DA3" w:rsidRPr="003D6DA3" w:rsidRDefault="003D6DA3">
      <w:pPr>
        <w:pStyle w:val="Notedebasdepage"/>
        <w:rPr>
          <w:lang w:val="fr-FR"/>
        </w:rPr>
      </w:pPr>
      <w:r>
        <w:rPr>
          <w:lang w:val="fr-FR"/>
        </w:rPr>
        <w:t>1. Note du tribunal</w:t>
      </w:r>
    </w:p>
  </w:footnote>
  <w:footnote w:id="2">
    <w:p w14:paraId="2F15B9D2" w14:textId="511DF9BB" w:rsidR="00D90C91" w:rsidRPr="00D90C91" w:rsidRDefault="00D90C91">
      <w:pPr>
        <w:pStyle w:val="Notedebasdepage"/>
        <w:rPr>
          <w:lang w:val="fr-FR"/>
        </w:rPr>
      </w:pPr>
      <w:r>
        <w:rPr>
          <w:rStyle w:val="Appelnotedebasdep"/>
        </w:rPr>
        <w:footnoteRef/>
      </w:r>
      <w:r>
        <w:t xml:space="preserve"> le tribunal souligne</w:t>
      </w:r>
    </w:p>
  </w:footnote>
  <w:footnote w:id="3">
    <w:p w14:paraId="380CE597" w14:textId="77777777" w:rsidR="00FB326B" w:rsidRPr="005D230D" w:rsidRDefault="00FB326B" w:rsidP="00FB326B">
      <w:pPr>
        <w:pStyle w:val="Notedebasdepage"/>
      </w:pPr>
      <w:r w:rsidRPr="00A73CFB">
        <w:rPr>
          <w:rStyle w:val="Appelnotedebasdep"/>
          <w:rFonts w:cs="Times New Roman"/>
        </w:rPr>
        <w:footnoteRef/>
      </w:r>
      <w:r w:rsidRPr="00A73CFB">
        <w:rPr>
          <w:rFonts w:cs="Times New Roman"/>
        </w:rPr>
        <w:t xml:space="preserve"> C. trav. Mons, 12 février 2019, R.G. 2017/AM/197 ; C. trav. Mons, 25 janvier 2005, </w:t>
      </w:r>
      <w:proofErr w:type="spellStart"/>
      <w:r w:rsidRPr="00A73CFB">
        <w:rPr>
          <w:rFonts w:cs="Times New Roman"/>
          <w:i/>
        </w:rPr>
        <w:t>Chron</w:t>
      </w:r>
      <w:proofErr w:type="spellEnd"/>
      <w:r w:rsidRPr="00A73CFB">
        <w:rPr>
          <w:rFonts w:cs="Times New Roman"/>
          <w:i/>
        </w:rPr>
        <w:t>. D.S.</w:t>
      </w:r>
      <w:r w:rsidRPr="00A73CFB">
        <w:rPr>
          <w:rFonts w:cs="Times New Roman"/>
        </w:rPr>
        <w:t>, 2007, liv. 9, p.535.</w:t>
      </w:r>
    </w:p>
  </w:footnote>
  <w:footnote w:id="4">
    <w:p w14:paraId="61D0930B" w14:textId="77777777" w:rsidR="00FB326B" w:rsidRDefault="00FB326B" w:rsidP="00FB326B">
      <w:pPr>
        <w:pStyle w:val="Notedebasdepage"/>
      </w:pPr>
      <w:r>
        <w:rPr>
          <w:rStyle w:val="Appelnotedebasdep"/>
        </w:rPr>
        <w:footnoteRef/>
      </w:r>
      <w:r>
        <w:t xml:space="preserve"> C’est le tribunal qui insiste.</w:t>
      </w:r>
    </w:p>
  </w:footnote>
  <w:footnote w:id="5">
    <w:p w14:paraId="052805A6" w14:textId="5CCCBF8A" w:rsidR="00BA673A" w:rsidRPr="00BA673A" w:rsidRDefault="00BA673A">
      <w:pPr>
        <w:pStyle w:val="Notedebasdepage"/>
        <w:rPr>
          <w:lang w:val="fr-FR"/>
        </w:rPr>
      </w:pPr>
      <w:r>
        <w:rPr>
          <w:rStyle w:val="Appelnotedebasdep"/>
        </w:rPr>
        <w:footnoteRef/>
      </w:r>
      <w:r>
        <w:t xml:space="preserve"> </w:t>
      </w:r>
      <w:proofErr w:type="spellStart"/>
      <w:r>
        <w:t>Trib.trav</w:t>
      </w:r>
      <w:proofErr w:type="spellEnd"/>
      <w:r>
        <w:t>. du Hainaut, div Charleroi, 8 février 2022, RG 21/1.004/A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763BC605" w14:textId="77777777">
      <w:tc>
        <w:tcPr>
          <w:tcW w:w="3200" w:type="dxa"/>
          <w:tcMar>
            <w:top w:w="55" w:type="dxa"/>
            <w:left w:w="55" w:type="dxa"/>
            <w:bottom w:w="55" w:type="dxa"/>
            <w:right w:w="55" w:type="dxa"/>
          </w:tcMar>
        </w:tcPr>
        <w:p w14:paraId="7E6F9C87"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14/ 428628/ A</w:t>
          </w:r>
        </w:p>
      </w:tc>
      <w:tc>
        <w:tcPr>
          <w:tcW w:w="3200" w:type="dxa"/>
          <w:tcMar>
            <w:top w:w="55" w:type="dxa"/>
            <w:left w:w="55" w:type="dxa"/>
            <w:bottom w:w="55" w:type="dxa"/>
            <w:right w:w="55" w:type="dxa"/>
          </w:tcMar>
        </w:tcPr>
        <w:p w14:paraId="1AD4E8BF" w14:textId="77777777" w:rsidR="008206B3" w:rsidRPr="00852979" w:rsidRDefault="005B7DC7">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74F1AB0B"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3D6C50">
            <w:rPr>
              <w:rFonts w:asciiTheme="minorHAnsi" w:hAnsiTheme="minorHAnsi" w:cstheme="minorHAnsi"/>
              <w:b/>
              <w:bCs/>
              <w:noProof/>
              <w:sz w:val="22"/>
              <w:szCs w:val="22"/>
            </w:rPr>
            <w:t>2</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3D6C50">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6E28A5ED" w14:textId="77777777" w:rsidR="008206B3" w:rsidRDefault="008206B3">
    <w:pPr>
      <w:pStyle w:val="En-tte"/>
      <w:pBdr>
        <w:bottom w:val="single" w:sz="6" w:space="1" w:color="auto"/>
      </w:pBdr>
    </w:pPr>
  </w:p>
  <w:p w14:paraId="28725588"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42120033" w14:textId="77777777" w:rsidTr="003258DF">
      <w:tc>
        <w:tcPr>
          <w:tcW w:w="3200" w:type="dxa"/>
          <w:tcMar>
            <w:top w:w="55" w:type="dxa"/>
            <w:left w:w="55" w:type="dxa"/>
            <w:bottom w:w="55" w:type="dxa"/>
            <w:right w:w="55" w:type="dxa"/>
          </w:tcMar>
        </w:tcPr>
        <w:p w14:paraId="7922FD8F"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14/ 428628/ A</w:t>
          </w:r>
        </w:p>
      </w:tc>
      <w:tc>
        <w:tcPr>
          <w:tcW w:w="3200" w:type="dxa"/>
          <w:tcMar>
            <w:top w:w="55" w:type="dxa"/>
            <w:left w:w="55" w:type="dxa"/>
            <w:bottom w:w="55" w:type="dxa"/>
            <w:right w:w="55" w:type="dxa"/>
          </w:tcMar>
        </w:tcPr>
        <w:p w14:paraId="4E664205"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43FFA962"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479E7812"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59692E"/>
    <w:multiLevelType w:val="hybridMultilevel"/>
    <w:tmpl w:val="0016AA94"/>
    <w:lvl w:ilvl="0" w:tplc="2626D2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3590E"/>
    <w:multiLevelType w:val="hybridMultilevel"/>
    <w:tmpl w:val="FC18B03E"/>
    <w:lvl w:ilvl="0" w:tplc="A6DA8D5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71BAAA7-8510-420E-B0C8-A56D818B83C0}"/>
    <w:docVar w:name="dgnword-eventsink" w:val="2469422543552"/>
  </w:docVars>
  <w:rsids>
    <w:rsidRoot w:val="003B3F57"/>
    <w:rsid w:val="000237D0"/>
    <w:rsid w:val="0002589B"/>
    <w:rsid w:val="00052E26"/>
    <w:rsid w:val="000606F4"/>
    <w:rsid w:val="00065F07"/>
    <w:rsid w:val="00072F3B"/>
    <w:rsid w:val="00090BE0"/>
    <w:rsid w:val="000B28C1"/>
    <w:rsid w:val="000B40C2"/>
    <w:rsid w:val="000B66EF"/>
    <w:rsid w:val="000C446B"/>
    <w:rsid w:val="000F785A"/>
    <w:rsid w:val="00151713"/>
    <w:rsid w:val="00191A0D"/>
    <w:rsid w:val="00193F9B"/>
    <w:rsid w:val="00194937"/>
    <w:rsid w:val="001B4C88"/>
    <w:rsid w:val="001D4B8C"/>
    <w:rsid w:val="00206FDD"/>
    <w:rsid w:val="00213290"/>
    <w:rsid w:val="002251A0"/>
    <w:rsid w:val="002522AF"/>
    <w:rsid w:val="002A3F32"/>
    <w:rsid w:val="002A4ACD"/>
    <w:rsid w:val="002D2304"/>
    <w:rsid w:val="002D50E6"/>
    <w:rsid w:val="002E13EE"/>
    <w:rsid w:val="002E4F56"/>
    <w:rsid w:val="002E7213"/>
    <w:rsid w:val="003022D7"/>
    <w:rsid w:val="00342809"/>
    <w:rsid w:val="003B3F57"/>
    <w:rsid w:val="003B4C1C"/>
    <w:rsid w:val="003C0129"/>
    <w:rsid w:val="003D6C50"/>
    <w:rsid w:val="003D6DA3"/>
    <w:rsid w:val="003E42C0"/>
    <w:rsid w:val="003E7C9B"/>
    <w:rsid w:val="003F641E"/>
    <w:rsid w:val="00422046"/>
    <w:rsid w:val="004420CB"/>
    <w:rsid w:val="00444DAA"/>
    <w:rsid w:val="00447DB5"/>
    <w:rsid w:val="00465C44"/>
    <w:rsid w:val="004950D5"/>
    <w:rsid w:val="004A669F"/>
    <w:rsid w:val="004B3AA4"/>
    <w:rsid w:val="004F36C3"/>
    <w:rsid w:val="004F4498"/>
    <w:rsid w:val="004F6E4F"/>
    <w:rsid w:val="00502FA7"/>
    <w:rsid w:val="005163EE"/>
    <w:rsid w:val="00517943"/>
    <w:rsid w:val="0052005D"/>
    <w:rsid w:val="005278AF"/>
    <w:rsid w:val="005311A8"/>
    <w:rsid w:val="0053258D"/>
    <w:rsid w:val="00550F11"/>
    <w:rsid w:val="0057200B"/>
    <w:rsid w:val="00572767"/>
    <w:rsid w:val="005A4C7D"/>
    <w:rsid w:val="005B11CD"/>
    <w:rsid w:val="005B5D9D"/>
    <w:rsid w:val="005B7DC7"/>
    <w:rsid w:val="005D7355"/>
    <w:rsid w:val="005F4C2A"/>
    <w:rsid w:val="00601075"/>
    <w:rsid w:val="00605DEA"/>
    <w:rsid w:val="0065284F"/>
    <w:rsid w:val="00667911"/>
    <w:rsid w:val="0068109E"/>
    <w:rsid w:val="006A5DAE"/>
    <w:rsid w:val="006A67FC"/>
    <w:rsid w:val="006A70CF"/>
    <w:rsid w:val="006B7B93"/>
    <w:rsid w:val="006C0072"/>
    <w:rsid w:val="006D5ED7"/>
    <w:rsid w:val="006E617E"/>
    <w:rsid w:val="00713878"/>
    <w:rsid w:val="00716DAD"/>
    <w:rsid w:val="00763852"/>
    <w:rsid w:val="00780B98"/>
    <w:rsid w:val="007A33A4"/>
    <w:rsid w:val="007B75A5"/>
    <w:rsid w:val="007D1AD1"/>
    <w:rsid w:val="007F2605"/>
    <w:rsid w:val="00810D4C"/>
    <w:rsid w:val="00820488"/>
    <w:rsid w:val="008206B3"/>
    <w:rsid w:val="00826D28"/>
    <w:rsid w:val="008272DE"/>
    <w:rsid w:val="00831B43"/>
    <w:rsid w:val="00852979"/>
    <w:rsid w:val="008915B0"/>
    <w:rsid w:val="008A2294"/>
    <w:rsid w:val="008A5ACB"/>
    <w:rsid w:val="0091131E"/>
    <w:rsid w:val="009267F7"/>
    <w:rsid w:val="009409E9"/>
    <w:rsid w:val="00950ABD"/>
    <w:rsid w:val="00954D77"/>
    <w:rsid w:val="00974FAE"/>
    <w:rsid w:val="00977960"/>
    <w:rsid w:val="00997EA5"/>
    <w:rsid w:val="009C45C1"/>
    <w:rsid w:val="009E1590"/>
    <w:rsid w:val="009E663F"/>
    <w:rsid w:val="00A0556C"/>
    <w:rsid w:val="00A07D98"/>
    <w:rsid w:val="00A56F5A"/>
    <w:rsid w:val="00A67D4E"/>
    <w:rsid w:val="00A764C5"/>
    <w:rsid w:val="00A91D1D"/>
    <w:rsid w:val="00A94056"/>
    <w:rsid w:val="00AA24E5"/>
    <w:rsid w:val="00AB1585"/>
    <w:rsid w:val="00AC62FA"/>
    <w:rsid w:val="00AD503C"/>
    <w:rsid w:val="00AD5E45"/>
    <w:rsid w:val="00AD72E3"/>
    <w:rsid w:val="00AE343D"/>
    <w:rsid w:val="00AF4830"/>
    <w:rsid w:val="00B135EF"/>
    <w:rsid w:val="00B56630"/>
    <w:rsid w:val="00B67A81"/>
    <w:rsid w:val="00B9207E"/>
    <w:rsid w:val="00B9506C"/>
    <w:rsid w:val="00B962EE"/>
    <w:rsid w:val="00BA673A"/>
    <w:rsid w:val="00BA7B97"/>
    <w:rsid w:val="00BB2F46"/>
    <w:rsid w:val="00BC675A"/>
    <w:rsid w:val="00BF0199"/>
    <w:rsid w:val="00BF3B30"/>
    <w:rsid w:val="00C708B0"/>
    <w:rsid w:val="00C907A3"/>
    <w:rsid w:val="00C90CC4"/>
    <w:rsid w:val="00CA0AE0"/>
    <w:rsid w:val="00CA2E1C"/>
    <w:rsid w:val="00CB581E"/>
    <w:rsid w:val="00CE492D"/>
    <w:rsid w:val="00D029AA"/>
    <w:rsid w:val="00D17A4B"/>
    <w:rsid w:val="00D434B6"/>
    <w:rsid w:val="00D5271B"/>
    <w:rsid w:val="00D90C91"/>
    <w:rsid w:val="00D9148E"/>
    <w:rsid w:val="00E06ECE"/>
    <w:rsid w:val="00E20A46"/>
    <w:rsid w:val="00E24ADF"/>
    <w:rsid w:val="00E2789F"/>
    <w:rsid w:val="00E40AC4"/>
    <w:rsid w:val="00E47497"/>
    <w:rsid w:val="00E54466"/>
    <w:rsid w:val="00E57F33"/>
    <w:rsid w:val="00E64753"/>
    <w:rsid w:val="00E65BCC"/>
    <w:rsid w:val="00E7292E"/>
    <w:rsid w:val="00E73B04"/>
    <w:rsid w:val="00E92C6E"/>
    <w:rsid w:val="00EA53FA"/>
    <w:rsid w:val="00EC680F"/>
    <w:rsid w:val="00ED1C59"/>
    <w:rsid w:val="00EE12D2"/>
    <w:rsid w:val="00EF28B2"/>
    <w:rsid w:val="00EF5910"/>
    <w:rsid w:val="00F14B43"/>
    <w:rsid w:val="00F21432"/>
    <w:rsid w:val="00F30CB5"/>
    <w:rsid w:val="00F34380"/>
    <w:rsid w:val="00F42EDD"/>
    <w:rsid w:val="00F44E94"/>
    <w:rsid w:val="00F53096"/>
    <w:rsid w:val="00F62C0F"/>
    <w:rsid w:val="00F62EE7"/>
    <w:rsid w:val="00F9385C"/>
    <w:rsid w:val="00FA23BE"/>
    <w:rsid w:val="00FB326B"/>
    <w:rsid w:val="00FB3EB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B8AA071"/>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unhideWhenUsed/>
    <w:rsid w:val="008915B0"/>
    <w:rPr>
      <w:sz w:val="20"/>
      <w:szCs w:val="20"/>
    </w:rPr>
  </w:style>
  <w:style w:type="character" w:customStyle="1" w:styleId="NotedebasdepageCar">
    <w:name w:val="Note de bas de page Car"/>
    <w:basedOn w:val="Policepardfaut"/>
    <w:link w:val="Notedebasdepage"/>
    <w:uiPriority w:val="99"/>
    <w:rsid w:val="008915B0"/>
    <w:rPr>
      <w:rFonts w:ascii="Times New Roman" w:eastAsia="Lucida Sans Unicode" w:hAnsi="Times New Roman" w:cs="Tahoma"/>
      <w:kern w:val="3"/>
      <w:sz w:val="20"/>
      <w:szCs w:val="20"/>
      <w:lang w:eastAsia="fr-BE"/>
    </w:rPr>
  </w:style>
  <w:style w:type="character" w:styleId="Appelnotedebasdep">
    <w:name w:val="footnote reference"/>
    <w:basedOn w:val="Policepardfaut"/>
    <w:uiPriority w:val="99"/>
    <w:unhideWhenUsed/>
    <w:rsid w:val="00891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
      <w:docPartPr>
        <w:name w:val="9C8F72E9EABD498487C9162E28AEE433"/>
        <w:category>
          <w:name w:val="Général"/>
          <w:gallery w:val="placeholder"/>
        </w:category>
        <w:types>
          <w:type w:val="bbPlcHdr"/>
        </w:types>
        <w:behaviors>
          <w:behavior w:val="content"/>
        </w:behaviors>
        <w:guid w:val="{FFBCF826-5FEF-4F99-94F9-D918D194642E}"/>
      </w:docPartPr>
      <w:docPartBody>
        <w:p w:rsidR="004A16A3" w:rsidRDefault="005E53A2" w:rsidP="005E53A2">
          <w:pPr>
            <w:pStyle w:val="9C8F72E9EABD498487C9162E28AEE433"/>
          </w:pPr>
          <w:r>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4769"/>
    <w:rsid w:val="001C7C29"/>
    <w:rsid w:val="0022769E"/>
    <w:rsid w:val="004A16A3"/>
    <w:rsid w:val="005E53A2"/>
    <w:rsid w:val="00673D96"/>
    <w:rsid w:val="00744A85"/>
    <w:rsid w:val="007E32C0"/>
    <w:rsid w:val="00863E2D"/>
    <w:rsid w:val="009D290D"/>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53A2"/>
  </w:style>
  <w:style w:type="paragraph" w:customStyle="1" w:styleId="7D9D6C47F73248759E7596D5806877F3">
    <w:name w:val="7D9D6C47F73248759E7596D5806877F3"/>
    <w:rsid w:val="009D290D"/>
    <w:pPr>
      <w:spacing w:after="160" w:line="259" w:lineRule="auto"/>
    </w:pPr>
  </w:style>
  <w:style w:type="paragraph" w:customStyle="1" w:styleId="9C8F72E9EABD498487C9162E28AEE433">
    <w:name w:val="9C8F72E9EABD498487C9162E28AEE433"/>
    <w:rsid w:val="005E53A2"/>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AD651-3291-4D10-9201-B418DC9E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5506</Words>
  <Characters>30284</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 Citation</dc:creator>
  <dc:description>/2001</dc:description>
  <cp:lastModifiedBy>Maréchal Denis</cp:lastModifiedBy>
  <cp:revision>3</cp:revision>
  <cp:lastPrinted>2019-03-12T10:08:00Z</cp:lastPrinted>
  <dcterms:created xsi:type="dcterms:W3CDTF">2023-01-17T10:49:00Z</dcterms:created>
  <dcterms:modified xsi:type="dcterms:W3CDTF">2023-01-23T08:13:00Z</dcterms:modified>
</cp:coreProperties>
</file>