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3D6E2" w14:textId="77777777" w:rsidR="002D50E6" w:rsidRDefault="002E13EE" w:rsidP="002D50E6">
      <w:pPr>
        <w:pStyle w:val="Textebrut"/>
        <w:rPr>
          <w:rFonts w:asciiTheme="minorHAnsi" w:hAnsiTheme="minorHAnsi" w:cstheme="minorHAnsi"/>
          <w:b/>
          <w:sz w:val="32"/>
          <w:szCs w:val="32"/>
          <w:u w:val="single"/>
        </w:rPr>
      </w:pPr>
      <w:r>
        <w:rPr>
          <w:rFonts w:asciiTheme="minorHAnsi" w:hAnsiTheme="minorHAnsi" w:cstheme="minorHAnsi"/>
          <w:b/>
          <w:noProof/>
          <w:sz w:val="32"/>
          <w:szCs w:val="32"/>
          <w:u w:val="single"/>
        </w:rPr>
        <w:drawing>
          <wp:anchor distT="0" distB="0" distL="114935" distR="114935" simplePos="0" relativeHeight="251658240" behindDoc="0" locked="0" layoutInCell="1" allowOverlap="1" wp14:anchorId="32652E7B" wp14:editId="6EB4F7DA">
            <wp:simplePos x="0" y="0"/>
            <wp:positionH relativeFrom="margin">
              <wp:align>left</wp:align>
            </wp:positionH>
            <wp:positionV relativeFrom="paragraph">
              <wp:posOffset>1905</wp:posOffset>
            </wp:positionV>
            <wp:extent cx="1804035" cy="787400"/>
            <wp:effectExtent l="0" t="0" r="571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4035" cy="7874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CE75F76" w14:textId="77777777" w:rsidR="002E13EE" w:rsidRDefault="002E13EE" w:rsidP="002D50E6">
      <w:pPr>
        <w:pStyle w:val="Textebrut"/>
        <w:rPr>
          <w:rFonts w:asciiTheme="minorHAnsi" w:hAnsiTheme="minorHAnsi" w:cstheme="minorHAnsi"/>
          <w:b/>
          <w:sz w:val="32"/>
          <w:szCs w:val="32"/>
          <w:u w:val="single"/>
        </w:rPr>
      </w:pPr>
    </w:p>
    <w:p w14:paraId="03461706" w14:textId="77777777" w:rsidR="002E13EE" w:rsidRDefault="002E13EE" w:rsidP="002D50E6">
      <w:pPr>
        <w:pStyle w:val="Textebrut"/>
        <w:rPr>
          <w:rFonts w:asciiTheme="minorHAnsi" w:hAnsiTheme="minorHAnsi" w:cstheme="minorHAnsi"/>
          <w:b/>
          <w:sz w:val="32"/>
          <w:szCs w:val="32"/>
          <w:u w:val="single"/>
        </w:rPr>
      </w:pPr>
    </w:p>
    <w:p w14:paraId="32EDFD0C" w14:textId="77777777" w:rsidR="002E13EE" w:rsidRDefault="002E13EE" w:rsidP="002D50E6">
      <w:pPr>
        <w:pStyle w:val="Textebrut"/>
        <w:rPr>
          <w:rFonts w:asciiTheme="minorHAnsi" w:hAnsiTheme="minorHAnsi" w:cstheme="minorHAnsi"/>
          <w:b/>
          <w:sz w:val="32"/>
          <w:szCs w:val="32"/>
          <w:u w:val="single"/>
        </w:rPr>
      </w:pPr>
    </w:p>
    <w:p w14:paraId="6F119438" w14:textId="77777777" w:rsidR="002E13EE" w:rsidRDefault="002E13EE" w:rsidP="002D50E6">
      <w:pPr>
        <w:pStyle w:val="Textebrut"/>
        <w:rPr>
          <w:rFonts w:asciiTheme="minorHAnsi" w:hAnsiTheme="minorHAnsi" w:cstheme="minorHAnsi"/>
          <w:b/>
          <w:sz w:val="32"/>
          <w:szCs w:val="32"/>
          <w:u w:val="single"/>
        </w:rPr>
      </w:pPr>
    </w:p>
    <w:tbl>
      <w:tblPr>
        <w:tblW w:w="0" w:type="auto"/>
        <w:tblLayout w:type="fixed"/>
        <w:tblLook w:val="0000" w:firstRow="0" w:lastRow="0" w:firstColumn="0" w:lastColumn="0" w:noHBand="0" w:noVBand="0"/>
      </w:tblPr>
      <w:tblGrid>
        <w:gridCol w:w="2932"/>
      </w:tblGrid>
      <w:tr w:rsidR="002D50E6" w:rsidRPr="0097037A" w14:paraId="4316C43C" w14:textId="77777777" w:rsidTr="0023498F">
        <w:tc>
          <w:tcPr>
            <w:tcW w:w="2932" w:type="dxa"/>
            <w:tcBorders>
              <w:top w:val="single" w:sz="4" w:space="0" w:color="000000"/>
              <w:left w:val="single" w:sz="4" w:space="0" w:color="000000"/>
              <w:bottom w:val="single" w:sz="4" w:space="0" w:color="000000"/>
              <w:right w:val="single" w:sz="4" w:space="0" w:color="000000"/>
            </w:tcBorders>
          </w:tcPr>
          <w:p w14:paraId="1070178A" w14:textId="77777777" w:rsidR="002D50E6" w:rsidRPr="0097037A" w:rsidRDefault="002D50E6" w:rsidP="0023498F">
            <w:pPr>
              <w:snapToGrid w:val="0"/>
              <w:ind w:right="252"/>
              <w:rPr>
                <w:rFonts w:ascii="Calibri" w:hAnsi="Calibri"/>
                <w:sz w:val="18"/>
              </w:rPr>
            </w:pPr>
            <w:r w:rsidRPr="0097037A">
              <w:rPr>
                <w:rFonts w:ascii="Calibri" w:hAnsi="Calibri"/>
                <w:sz w:val="18"/>
              </w:rPr>
              <w:t>numéro de répertoire</w:t>
            </w:r>
          </w:p>
          <w:p w14:paraId="3743D1E4" w14:textId="77777777" w:rsidR="002D50E6" w:rsidRPr="0097037A" w:rsidRDefault="002D50E6" w:rsidP="0023498F">
            <w:pPr>
              <w:ind w:right="252"/>
              <w:rPr>
                <w:rFonts w:ascii="Calibri" w:hAnsi="Calibri"/>
                <w:sz w:val="16"/>
                <w:szCs w:val="16"/>
              </w:rPr>
            </w:pPr>
          </w:p>
          <w:p w14:paraId="3FD7D99E" w14:textId="77777777" w:rsidR="002D50E6" w:rsidRPr="0097037A" w:rsidRDefault="005B7DC7" w:rsidP="0023498F">
            <w:pPr>
              <w:rPr>
                <w:rFonts w:ascii="Calibri" w:hAnsi="Calibri"/>
                <w:b/>
                <w:bCs/>
              </w:rPr>
            </w:pPr>
            <w:r>
              <w:rPr>
                <w:rFonts w:ascii="Calibri" w:hAnsi="Calibri"/>
                <w:b/>
                <w:bCs/>
              </w:rPr>
              <w:t>2022</w:t>
            </w:r>
            <w:r w:rsidR="002D50E6" w:rsidRPr="0097037A">
              <w:rPr>
                <w:rFonts w:ascii="Calibri" w:hAnsi="Calibri"/>
                <w:b/>
                <w:bCs/>
              </w:rPr>
              <w:t>/</w:t>
            </w:r>
          </w:p>
          <w:p w14:paraId="56C4484E" w14:textId="77777777" w:rsidR="002D50E6" w:rsidRPr="0097037A" w:rsidRDefault="002D50E6" w:rsidP="0023498F">
            <w:pPr>
              <w:rPr>
                <w:rFonts w:ascii="Calibri" w:hAnsi="Calibri"/>
                <w:sz w:val="16"/>
                <w:szCs w:val="16"/>
              </w:rPr>
            </w:pPr>
          </w:p>
        </w:tc>
      </w:tr>
      <w:tr w:rsidR="002D50E6" w:rsidRPr="0063600A" w14:paraId="5412F11E" w14:textId="77777777" w:rsidTr="0023498F">
        <w:tc>
          <w:tcPr>
            <w:tcW w:w="2932" w:type="dxa"/>
            <w:tcBorders>
              <w:top w:val="single" w:sz="4" w:space="0" w:color="000000"/>
              <w:left w:val="single" w:sz="4" w:space="0" w:color="000000"/>
              <w:bottom w:val="single" w:sz="4" w:space="0" w:color="000000"/>
              <w:right w:val="single" w:sz="4" w:space="0" w:color="000000"/>
            </w:tcBorders>
          </w:tcPr>
          <w:p w14:paraId="5B72FADA" w14:textId="77777777" w:rsidR="002D50E6" w:rsidRPr="0097037A" w:rsidRDefault="002D50E6" w:rsidP="0023498F">
            <w:pPr>
              <w:snapToGrid w:val="0"/>
              <w:ind w:right="252"/>
              <w:rPr>
                <w:rFonts w:ascii="Calibri" w:hAnsi="Calibri"/>
                <w:sz w:val="18"/>
              </w:rPr>
            </w:pPr>
            <w:r>
              <w:rPr>
                <w:rFonts w:ascii="Calibri" w:hAnsi="Calibri"/>
                <w:sz w:val="18"/>
              </w:rPr>
              <w:t>date du jugement</w:t>
            </w:r>
          </w:p>
          <w:p w14:paraId="650E5ADB" w14:textId="77777777" w:rsidR="002D50E6" w:rsidRPr="0097037A" w:rsidRDefault="002D50E6" w:rsidP="0023498F">
            <w:pPr>
              <w:rPr>
                <w:rFonts w:ascii="Calibri" w:hAnsi="Calibri"/>
                <w:b/>
              </w:rPr>
            </w:pPr>
          </w:p>
          <w:p w14:paraId="72C05F58" w14:textId="77777777" w:rsidR="002D50E6" w:rsidRPr="0097037A" w:rsidRDefault="00961229" w:rsidP="0023498F">
            <w:pPr>
              <w:rPr>
                <w:rFonts w:ascii="Calibri" w:hAnsi="Calibri"/>
                <w:b/>
              </w:rPr>
            </w:pPr>
            <w:sdt>
              <w:sdtPr>
                <w:rPr>
                  <w:rFonts w:asciiTheme="minorHAnsi" w:hAnsiTheme="minorHAnsi" w:cstheme="minorHAnsi"/>
                  <w:b/>
                  <w:sz w:val="32"/>
                  <w:szCs w:val="32"/>
                  <w:u w:val="single"/>
                </w:rPr>
                <w:id w:val="488830715"/>
                <w:placeholder>
                  <w:docPart w:val="7D9D6C47F73248759E7596D5806877F3"/>
                </w:placeholder>
                <w:date w:fullDate="2022-04-26T00:00:00Z">
                  <w:dateFormat w:val="dd/MM/yyyy"/>
                  <w:lid w:val="fr-BE"/>
                  <w:storeMappedDataAs w:val="dateTime"/>
                  <w:calendar w:val="gregorian"/>
                </w:date>
              </w:sdtPr>
              <w:sdtEndPr/>
              <w:sdtContent>
                <w:r w:rsidR="000A488D">
                  <w:rPr>
                    <w:rFonts w:asciiTheme="minorHAnsi" w:hAnsiTheme="minorHAnsi" w:cstheme="minorHAnsi"/>
                    <w:b/>
                    <w:sz w:val="32"/>
                    <w:szCs w:val="32"/>
                    <w:u w:val="single"/>
                  </w:rPr>
                  <w:t>26/04/2022</w:t>
                </w:r>
              </w:sdtContent>
            </w:sdt>
            <w:r w:rsidR="00F30CB5" w:rsidRPr="0097037A">
              <w:rPr>
                <w:rFonts w:ascii="Calibri" w:hAnsi="Calibri"/>
                <w:b/>
              </w:rPr>
              <w:t xml:space="preserve"> </w:t>
            </w:r>
          </w:p>
          <w:p w14:paraId="5916A05D" w14:textId="77777777" w:rsidR="002D50E6" w:rsidRPr="0097037A" w:rsidRDefault="002D50E6" w:rsidP="0023498F">
            <w:pPr>
              <w:rPr>
                <w:rFonts w:ascii="Calibri" w:hAnsi="Calibri"/>
                <w:sz w:val="16"/>
                <w:szCs w:val="16"/>
              </w:rPr>
            </w:pPr>
          </w:p>
        </w:tc>
      </w:tr>
      <w:tr w:rsidR="002D50E6" w:rsidRPr="0097037A" w14:paraId="37684AAA" w14:textId="77777777" w:rsidTr="0023498F">
        <w:tc>
          <w:tcPr>
            <w:tcW w:w="2932" w:type="dxa"/>
            <w:tcBorders>
              <w:top w:val="single" w:sz="4" w:space="0" w:color="000000"/>
              <w:left w:val="single" w:sz="4" w:space="0" w:color="000000"/>
              <w:bottom w:val="single" w:sz="4" w:space="0" w:color="000000"/>
              <w:right w:val="single" w:sz="4" w:space="0" w:color="000000"/>
            </w:tcBorders>
          </w:tcPr>
          <w:p w14:paraId="75B8E3DC" w14:textId="77777777" w:rsidR="002D50E6" w:rsidRPr="0097037A" w:rsidRDefault="002D50E6" w:rsidP="0023498F">
            <w:pPr>
              <w:snapToGrid w:val="0"/>
              <w:ind w:right="252"/>
              <w:rPr>
                <w:rFonts w:ascii="Calibri" w:hAnsi="Calibri"/>
                <w:sz w:val="18"/>
              </w:rPr>
            </w:pPr>
            <w:r w:rsidRPr="0097037A">
              <w:rPr>
                <w:rFonts w:ascii="Calibri" w:hAnsi="Calibri"/>
                <w:sz w:val="18"/>
              </w:rPr>
              <w:t>numéro de rôle</w:t>
            </w:r>
          </w:p>
          <w:p w14:paraId="510A7890" w14:textId="77777777" w:rsidR="002D50E6" w:rsidRPr="004D4CC3" w:rsidRDefault="002D50E6" w:rsidP="0023498F">
            <w:pPr>
              <w:ind w:right="252"/>
              <w:rPr>
                <w:rFonts w:ascii="Calibri" w:hAnsi="Calibri"/>
                <w:sz w:val="18"/>
                <w:szCs w:val="18"/>
              </w:rPr>
            </w:pPr>
          </w:p>
          <w:p w14:paraId="19C02014" w14:textId="77777777" w:rsidR="002D50E6" w:rsidRPr="004D4CC3" w:rsidRDefault="002D50E6" w:rsidP="0023498F">
            <w:pPr>
              <w:rPr>
                <w:rFonts w:ascii="Calibri" w:hAnsi="Calibri"/>
                <w:b/>
                <w:sz w:val="20"/>
                <w:szCs w:val="20"/>
              </w:rPr>
            </w:pPr>
            <w:r w:rsidRPr="000A488D">
              <w:rPr>
                <w:rFonts w:ascii="Calibri" w:hAnsi="Calibri" w:cs="Calibri"/>
                <w:b/>
                <w:bCs/>
                <w:szCs w:val="22"/>
              </w:rPr>
              <w:t>R.G. : 20/ 3516/ A</w:t>
            </w:r>
            <w:r w:rsidRPr="004D4CC3">
              <w:rPr>
                <w:rFonts w:ascii="Calibri" w:hAnsi="Calibri"/>
                <w:b/>
                <w:sz w:val="20"/>
                <w:szCs w:val="20"/>
              </w:rPr>
              <w:t xml:space="preserve"> </w:t>
            </w:r>
          </w:p>
          <w:p w14:paraId="7A9B6B17" w14:textId="77777777" w:rsidR="002D50E6" w:rsidRPr="0097037A" w:rsidRDefault="002D50E6" w:rsidP="0023498F">
            <w:pPr>
              <w:rPr>
                <w:rFonts w:ascii="Calibri" w:hAnsi="Calibri"/>
                <w:sz w:val="16"/>
                <w:szCs w:val="16"/>
              </w:rPr>
            </w:pPr>
          </w:p>
        </w:tc>
      </w:tr>
    </w:tbl>
    <w:p w14:paraId="37053898" w14:textId="77777777" w:rsidR="00BB2F46" w:rsidRDefault="00BB2F46" w:rsidP="002D50E6"/>
    <w:tbl>
      <w:tblPr>
        <w:tblpPr w:leftFromText="141" w:rightFromText="141" w:vertAnchor="text" w:tblpX="3205" w:tblpY="-3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44"/>
      </w:tblGrid>
      <w:tr w:rsidR="00BB2F46" w14:paraId="7E65B054" w14:textId="77777777" w:rsidTr="00BB2F46">
        <w:trPr>
          <w:trHeight w:val="4428"/>
        </w:trPr>
        <w:tc>
          <w:tcPr>
            <w:tcW w:w="5544" w:type="dxa"/>
          </w:tcPr>
          <w:p w14:paraId="5E58FB14" w14:textId="77777777" w:rsidR="00BB2F46" w:rsidRPr="0097037A" w:rsidRDefault="00BB2F46" w:rsidP="00BB2F46">
            <w:pPr>
              <w:spacing w:line="260" w:lineRule="atLeast"/>
              <w:rPr>
                <w:rFonts w:ascii="Calibri" w:eastAsia="SimSun" w:hAnsi="Calibri" w:cs="Times New Roman"/>
                <w:b/>
                <w:color w:val="808080"/>
              </w:rPr>
            </w:pPr>
            <w:r w:rsidRPr="0097037A">
              <w:rPr>
                <w:rFonts w:ascii="Calibri" w:eastAsia="SimSun" w:hAnsi="Calibri" w:cs="Times New Roman"/>
                <w:b/>
                <w:color w:val="808080"/>
              </w:rPr>
              <w:t>expédition</w:t>
            </w:r>
          </w:p>
          <w:tbl>
            <w:tblPr>
              <w:tblW w:w="0" w:type="auto"/>
              <w:tblLook w:val="0000" w:firstRow="0" w:lastRow="0" w:firstColumn="0" w:lastColumn="0" w:noHBand="0" w:noVBand="0"/>
            </w:tblPr>
            <w:tblGrid>
              <w:gridCol w:w="1789"/>
              <w:gridCol w:w="1789"/>
              <w:gridCol w:w="1816"/>
            </w:tblGrid>
            <w:tr w:rsidR="00BB2F46" w:rsidRPr="0097037A" w14:paraId="336ECDB5" w14:textId="77777777" w:rsidTr="0023498F">
              <w:trPr>
                <w:trHeight w:val="1871"/>
              </w:trPr>
              <w:tc>
                <w:tcPr>
                  <w:tcW w:w="2256" w:type="dxa"/>
                  <w:tcBorders>
                    <w:top w:val="single" w:sz="4" w:space="0" w:color="808080"/>
                    <w:left w:val="single" w:sz="4" w:space="0" w:color="808080"/>
                    <w:bottom w:val="single" w:sz="4" w:space="0" w:color="808080"/>
                  </w:tcBorders>
                  <w:vAlign w:val="center"/>
                </w:tcPr>
                <w:p w14:paraId="16A522A2" w14:textId="77777777" w:rsidR="00BB2F46" w:rsidRPr="0097037A" w:rsidRDefault="00BB2F46" w:rsidP="00961229">
                  <w:pPr>
                    <w:framePr w:hSpace="141" w:wrap="around" w:vAnchor="text" w:hAnchor="text" w:x="3205" w:y="-3719"/>
                    <w:snapToGrid w:val="0"/>
                    <w:rPr>
                      <w:rFonts w:ascii="Calibri" w:eastAsia="SimSun" w:hAnsi="Calibri" w:cs="Times New Roman"/>
                      <w:color w:val="808080"/>
                      <w:sz w:val="18"/>
                      <w:szCs w:val="18"/>
                    </w:rPr>
                  </w:pPr>
                  <w:r w:rsidRPr="0097037A">
                    <w:rPr>
                      <w:rFonts w:ascii="Calibri" w:eastAsia="SimSun" w:hAnsi="Calibri" w:cs="Times New Roman"/>
                      <w:color w:val="808080"/>
                      <w:sz w:val="18"/>
                      <w:szCs w:val="18"/>
                    </w:rPr>
                    <w:t>délivrée à</w:t>
                  </w:r>
                </w:p>
                <w:p w14:paraId="582E57B3" w14:textId="77777777" w:rsidR="00BB2F46" w:rsidRPr="0097037A" w:rsidRDefault="00BB2F46" w:rsidP="00961229">
                  <w:pPr>
                    <w:framePr w:hSpace="141" w:wrap="around" w:vAnchor="text" w:hAnchor="text" w:x="3205" w:y="-3719"/>
                    <w:rPr>
                      <w:rFonts w:ascii="Calibri" w:eastAsia="SimSun" w:hAnsi="Calibri" w:cs="Times New Roman"/>
                      <w:color w:val="808080"/>
                      <w:sz w:val="18"/>
                      <w:szCs w:val="18"/>
                    </w:rPr>
                  </w:pPr>
                </w:p>
                <w:p w14:paraId="04E7465F" w14:textId="77777777" w:rsidR="00BB2F46" w:rsidRPr="0097037A" w:rsidRDefault="00BB2F46" w:rsidP="00961229">
                  <w:pPr>
                    <w:framePr w:hSpace="141" w:wrap="around" w:vAnchor="text" w:hAnchor="text" w:x="3205" w:y="-3719"/>
                    <w:rPr>
                      <w:rFonts w:ascii="Calibri" w:eastAsia="SimSun" w:hAnsi="Calibri" w:cs="Times New Roman"/>
                      <w:color w:val="808080"/>
                      <w:sz w:val="18"/>
                      <w:szCs w:val="18"/>
                    </w:rPr>
                  </w:pPr>
                </w:p>
                <w:p w14:paraId="378363E8" w14:textId="77777777" w:rsidR="00BB2F46" w:rsidRPr="0097037A" w:rsidRDefault="00BB2F46" w:rsidP="00961229">
                  <w:pPr>
                    <w:framePr w:hSpace="141" w:wrap="around" w:vAnchor="text" w:hAnchor="text" w:x="3205" w:y="-3719"/>
                    <w:rPr>
                      <w:rFonts w:ascii="Calibri" w:eastAsia="SimSun" w:hAnsi="Calibri" w:cs="Times New Roman"/>
                      <w:color w:val="808080"/>
                      <w:sz w:val="18"/>
                      <w:szCs w:val="18"/>
                    </w:rPr>
                  </w:pPr>
                </w:p>
                <w:p w14:paraId="469C9A5D" w14:textId="77777777" w:rsidR="00BB2F46" w:rsidRPr="0097037A" w:rsidRDefault="00BB2F46" w:rsidP="00961229">
                  <w:pPr>
                    <w:framePr w:hSpace="141" w:wrap="around" w:vAnchor="text" w:hAnchor="text" w:x="3205" w:y="-3719"/>
                    <w:rPr>
                      <w:rFonts w:ascii="Calibri" w:eastAsia="SimSun" w:hAnsi="Calibri" w:cs="Times New Roman"/>
                      <w:color w:val="808080"/>
                      <w:sz w:val="18"/>
                      <w:szCs w:val="18"/>
                    </w:rPr>
                  </w:pPr>
                </w:p>
                <w:p w14:paraId="00DACEE3" w14:textId="77777777" w:rsidR="00BB2F46" w:rsidRPr="0097037A" w:rsidRDefault="00BB2F46" w:rsidP="00961229">
                  <w:pPr>
                    <w:framePr w:hSpace="141" w:wrap="around" w:vAnchor="text" w:hAnchor="text" w:x="3205" w:y="-3719"/>
                    <w:rPr>
                      <w:rFonts w:ascii="Calibri" w:eastAsia="SimSun" w:hAnsi="Calibri" w:cs="Times New Roman"/>
                      <w:color w:val="808080"/>
                      <w:sz w:val="18"/>
                      <w:szCs w:val="18"/>
                    </w:rPr>
                  </w:pPr>
                </w:p>
                <w:p w14:paraId="653F798F" w14:textId="77777777" w:rsidR="00BB2F46" w:rsidRPr="0097037A" w:rsidRDefault="00BB2F46" w:rsidP="00961229">
                  <w:pPr>
                    <w:framePr w:hSpace="141" w:wrap="around" w:vAnchor="text" w:hAnchor="text" w:x="3205" w:y="-3719"/>
                    <w:rPr>
                      <w:rFonts w:ascii="Calibri" w:eastAsia="SimSun" w:hAnsi="Calibri" w:cs="Times New Roman"/>
                      <w:color w:val="808080"/>
                      <w:sz w:val="18"/>
                      <w:szCs w:val="18"/>
                    </w:rPr>
                  </w:pPr>
                  <w:r w:rsidRPr="0097037A">
                    <w:rPr>
                      <w:rFonts w:ascii="Calibri" w:eastAsia="SimSun" w:hAnsi="Calibri" w:cs="Times New Roman"/>
                      <w:color w:val="808080"/>
                      <w:sz w:val="18"/>
                      <w:szCs w:val="18"/>
                    </w:rPr>
                    <w:t xml:space="preserve">le </w:t>
                  </w:r>
                </w:p>
                <w:p w14:paraId="4F274B66" w14:textId="77777777" w:rsidR="00BB2F46" w:rsidRPr="0097037A" w:rsidRDefault="00BB2F46" w:rsidP="00961229">
                  <w:pPr>
                    <w:framePr w:hSpace="141" w:wrap="around" w:vAnchor="text" w:hAnchor="text" w:x="3205" w:y="-3719"/>
                    <w:rPr>
                      <w:rFonts w:ascii="Calibri" w:eastAsia="SimSun" w:hAnsi="Calibri" w:cs="Times New Roman"/>
                      <w:color w:val="808080"/>
                      <w:sz w:val="18"/>
                      <w:szCs w:val="18"/>
                    </w:rPr>
                  </w:pPr>
                  <w:r w:rsidRPr="0097037A">
                    <w:rPr>
                      <w:rFonts w:ascii="Calibri" w:eastAsia="SimSun" w:hAnsi="Calibri" w:cs="Times New Roman"/>
                      <w:color w:val="808080"/>
                      <w:sz w:val="18"/>
                      <w:szCs w:val="18"/>
                    </w:rPr>
                    <w:t xml:space="preserve">€ </w:t>
                  </w:r>
                </w:p>
                <w:p w14:paraId="3184754D" w14:textId="77777777" w:rsidR="00BB2F46" w:rsidRPr="0097037A" w:rsidRDefault="00BB2F46" w:rsidP="00961229">
                  <w:pPr>
                    <w:framePr w:hSpace="141" w:wrap="around" w:vAnchor="text" w:hAnchor="text" w:x="3205" w:y="-3719"/>
                    <w:rPr>
                      <w:rFonts w:ascii="Calibri" w:eastAsia="SimSun" w:hAnsi="Calibri" w:cs="Times New Roman"/>
                      <w:color w:val="808080"/>
                      <w:sz w:val="8"/>
                      <w:szCs w:val="8"/>
                    </w:rPr>
                  </w:pPr>
                </w:p>
              </w:tc>
              <w:tc>
                <w:tcPr>
                  <w:tcW w:w="2256" w:type="dxa"/>
                  <w:tcBorders>
                    <w:top w:val="single" w:sz="4" w:space="0" w:color="808080"/>
                    <w:left w:val="single" w:sz="4" w:space="0" w:color="808080"/>
                    <w:bottom w:val="single" w:sz="4" w:space="0" w:color="808080"/>
                  </w:tcBorders>
                  <w:vAlign w:val="center"/>
                </w:tcPr>
                <w:p w14:paraId="4194DE5E" w14:textId="77777777" w:rsidR="00BB2F46" w:rsidRPr="0097037A" w:rsidRDefault="00BB2F46" w:rsidP="00961229">
                  <w:pPr>
                    <w:framePr w:hSpace="141" w:wrap="around" w:vAnchor="text" w:hAnchor="text" w:x="3205" w:y="-3719"/>
                    <w:snapToGrid w:val="0"/>
                    <w:rPr>
                      <w:rFonts w:ascii="Calibri" w:eastAsia="SimSun" w:hAnsi="Calibri" w:cs="Times New Roman"/>
                      <w:color w:val="808080"/>
                      <w:sz w:val="18"/>
                      <w:szCs w:val="18"/>
                    </w:rPr>
                  </w:pPr>
                  <w:r w:rsidRPr="0097037A">
                    <w:rPr>
                      <w:rFonts w:ascii="Calibri" w:eastAsia="SimSun" w:hAnsi="Calibri" w:cs="Times New Roman"/>
                      <w:color w:val="808080"/>
                      <w:sz w:val="18"/>
                      <w:szCs w:val="18"/>
                    </w:rPr>
                    <w:t>délivrée à</w:t>
                  </w:r>
                </w:p>
                <w:p w14:paraId="07239C5C" w14:textId="77777777" w:rsidR="00BB2F46" w:rsidRPr="0097037A" w:rsidRDefault="00BB2F46" w:rsidP="00961229">
                  <w:pPr>
                    <w:framePr w:hSpace="141" w:wrap="around" w:vAnchor="text" w:hAnchor="text" w:x="3205" w:y="-3719"/>
                    <w:rPr>
                      <w:rFonts w:ascii="Calibri" w:eastAsia="SimSun" w:hAnsi="Calibri" w:cs="Times New Roman"/>
                      <w:color w:val="808080"/>
                      <w:sz w:val="18"/>
                      <w:szCs w:val="18"/>
                    </w:rPr>
                  </w:pPr>
                </w:p>
                <w:p w14:paraId="7C323196" w14:textId="77777777" w:rsidR="00BB2F46" w:rsidRPr="0097037A" w:rsidRDefault="00BB2F46" w:rsidP="00961229">
                  <w:pPr>
                    <w:framePr w:hSpace="141" w:wrap="around" w:vAnchor="text" w:hAnchor="text" w:x="3205" w:y="-3719"/>
                    <w:rPr>
                      <w:rFonts w:ascii="Calibri" w:eastAsia="SimSun" w:hAnsi="Calibri" w:cs="Times New Roman"/>
                      <w:color w:val="808080"/>
                      <w:sz w:val="18"/>
                      <w:szCs w:val="18"/>
                    </w:rPr>
                  </w:pPr>
                </w:p>
                <w:p w14:paraId="2CA5423A" w14:textId="77777777" w:rsidR="00BB2F46" w:rsidRPr="0097037A" w:rsidRDefault="00BB2F46" w:rsidP="00961229">
                  <w:pPr>
                    <w:framePr w:hSpace="141" w:wrap="around" w:vAnchor="text" w:hAnchor="text" w:x="3205" w:y="-3719"/>
                    <w:rPr>
                      <w:rFonts w:ascii="Calibri" w:eastAsia="SimSun" w:hAnsi="Calibri" w:cs="Times New Roman"/>
                      <w:color w:val="808080"/>
                      <w:sz w:val="18"/>
                      <w:szCs w:val="18"/>
                    </w:rPr>
                  </w:pPr>
                </w:p>
                <w:p w14:paraId="5AEA72ED" w14:textId="77777777" w:rsidR="00BB2F46" w:rsidRPr="0097037A" w:rsidRDefault="00BB2F46" w:rsidP="00961229">
                  <w:pPr>
                    <w:framePr w:hSpace="141" w:wrap="around" w:vAnchor="text" w:hAnchor="text" w:x="3205" w:y="-3719"/>
                    <w:rPr>
                      <w:rFonts w:ascii="Calibri" w:eastAsia="SimSun" w:hAnsi="Calibri" w:cs="Times New Roman"/>
                      <w:color w:val="808080"/>
                      <w:sz w:val="18"/>
                      <w:szCs w:val="18"/>
                    </w:rPr>
                  </w:pPr>
                </w:p>
                <w:p w14:paraId="6F47CF5A" w14:textId="77777777" w:rsidR="00BB2F46" w:rsidRPr="0097037A" w:rsidRDefault="00BB2F46" w:rsidP="00961229">
                  <w:pPr>
                    <w:framePr w:hSpace="141" w:wrap="around" w:vAnchor="text" w:hAnchor="text" w:x="3205" w:y="-3719"/>
                    <w:rPr>
                      <w:rFonts w:ascii="Calibri" w:eastAsia="SimSun" w:hAnsi="Calibri" w:cs="Times New Roman"/>
                      <w:color w:val="808080"/>
                      <w:sz w:val="18"/>
                      <w:szCs w:val="18"/>
                    </w:rPr>
                  </w:pPr>
                </w:p>
                <w:p w14:paraId="30EAA70F" w14:textId="77777777" w:rsidR="00BB2F46" w:rsidRPr="0097037A" w:rsidRDefault="00BB2F46" w:rsidP="00961229">
                  <w:pPr>
                    <w:framePr w:hSpace="141" w:wrap="around" w:vAnchor="text" w:hAnchor="text" w:x="3205" w:y="-3719"/>
                    <w:rPr>
                      <w:rFonts w:ascii="Calibri" w:eastAsia="SimSun" w:hAnsi="Calibri" w:cs="Times New Roman"/>
                      <w:color w:val="808080"/>
                      <w:sz w:val="18"/>
                      <w:szCs w:val="18"/>
                    </w:rPr>
                  </w:pPr>
                  <w:r w:rsidRPr="0097037A">
                    <w:rPr>
                      <w:rFonts w:ascii="Calibri" w:eastAsia="SimSun" w:hAnsi="Calibri" w:cs="Times New Roman"/>
                      <w:color w:val="808080"/>
                      <w:sz w:val="18"/>
                      <w:szCs w:val="18"/>
                    </w:rPr>
                    <w:t xml:space="preserve">le </w:t>
                  </w:r>
                </w:p>
                <w:p w14:paraId="3517AB90" w14:textId="77777777" w:rsidR="00BB2F46" w:rsidRPr="0097037A" w:rsidRDefault="00BB2F46" w:rsidP="00961229">
                  <w:pPr>
                    <w:framePr w:hSpace="141" w:wrap="around" w:vAnchor="text" w:hAnchor="text" w:x="3205" w:y="-3719"/>
                    <w:rPr>
                      <w:rFonts w:ascii="Calibri" w:eastAsia="SimSun" w:hAnsi="Calibri" w:cs="Times New Roman"/>
                      <w:color w:val="808080"/>
                      <w:sz w:val="18"/>
                      <w:szCs w:val="18"/>
                    </w:rPr>
                  </w:pPr>
                  <w:r w:rsidRPr="0097037A">
                    <w:rPr>
                      <w:rFonts w:ascii="Calibri" w:eastAsia="SimSun" w:hAnsi="Calibri" w:cs="Times New Roman"/>
                      <w:color w:val="808080"/>
                      <w:sz w:val="18"/>
                      <w:szCs w:val="18"/>
                    </w:rPr>
                    <w:t>€</w:t>
                  </w:r>
                </w:p>
                <w:p w14:paraId="681D873B" w14:textId="77777777" w:rsidR="00BB2F46" w:rsidRPr="0097037A" w:rsidRDefault="00BB2F46" w:rsidP="00961229">
                  <w:pPr>
                    <w:framePr w:hSpace="141" w:wrap="around" w:vAnchor="text" w:hAnchor="text" w:x="3205" w:y="-3719"/>
                    <w:rPr>
                      <w:rFonts w:ascii="Calibri" w:eastAsia="SimSun" w:hAnsi="Calibri" w:cs="Times New Roman"/>
                      <w:color w:val="808080"/>
                      <w:sz w:val="8"/>
                      <w:szCs w:val="8"/>
                    </w:rPr>
                  </w:pPr>
                </w:p>
              </w:tc>
              <w:tc>
                <w:tcPr>
                  <w:tcW w:w="2296" w:type="dxa"/>
                  <w:tcBorders>
                    <w:top w:val="single" w:sz="4" w:space="0" w:color="808080"/>
                    <w:left w:val="single" w:sz="4" w:space="0" w:color="808080"/>
                    <w:bottom w:val="single" w:sz="4" w:space="0" w:color="808080"/>
                    <w:right w:val="single" w:sz="4" w:space="0" w:color="808080"/>
                  </w:tcBorders>
                  <w:vAlign w:val="center"/>
                </w:tcPr>
                <w:p w14:paraId="4FD9CD0E" w14:textId="77777777" w:rsidR="00BB2F46" w:rsidRPr="0097037A" w:rsidRDefault="00BB2F46" w:rsidP="00961229">
                  <w:pPr>
                    <w:framePr w:hSpace="141" w:wrap="around" w:vAnchor="text" w:hAnchor="text" w:x="3205" w:y="-3719"/>
                    <w:snapToGrid w:val="0"/>
                    <w:rPr>
                      <w:rFonts w:ascii="Calibri" w:eastAsia="SimSun" w:hAnsi="Calibri" w:cs="Times New Roman"/>
                      <w:color w:val="808080"/>
                      <w:sz w:val="18"/>
                      <w:szCs w:val="18"/>
                    </w:rPr>
                  </w:pPr>
                  <w:r w:rsidRPr="0097037A">
                    <w:rPr>
                      <w:rFonts w:ascii="Calibri" w:eastAsia="SimSun" w:hAnsi="Calibri" w:cs="Times New Roman"/>
                      <w:color w:val="808080"/>
                      <w:sz w:val="18"/>
                      <w:szCs w:val="18"/>
                    </w:rPr>
                    <w:t>délivrée à</w:t>
                  </w:r>
                </w:p>
                <w:p w14:paraId="719C7E21" w14:textId="77777777" w:rsidR="00BB2F46" w:rsidRPr="0097037A" w:rsidRDefault="00BB2F46" w:rsidP="00961229">
                  <w:pPr>
                    <w:framePr w:hSpace="141" w:wrap="around" w:vAnchor="text" w:hAnchor="text" w:x="3205" w:y="-3719"/>
                    <w:rPr>
                      <w:rFonts w:ascii="Calibri" w:eastAsia="SimSun" w:hAnsi="Calibri" w:cs="Times New Roman"/>
                      <w:color w:val="808080"/>
                      <w:sz w:val="18"/>
                      <w:szCs w:val="18"/>
                    </w:rPr>
                  </w:pPr>
                </w:p>
                <w:p w14:paraId="1B9FB559" w14:textId="77777777" w:rsidR="00BB2F46" w:rsidRPr="0097037A" w:rsidRDefault="00BB2F46" w:rsidP="00961229">
                  <w:pPr>
                    <w:framePr w:hSpace="141" w:wrap="around" w:vAnchor="text" w:hAnchor="text" w:x="3205" w:y="-3719"/>
                    <w:rPr>
                      <w:rFonts w:ascii="Calibri" w:eastAsia="SimSun" w:hAnsi="Calibri" w:cs="Times New Roman"/>
                      <w:color w:val="808080"/>
                      <w:sz w:val="18"/>
                      <w:szCs w:val="18"/>
                    </w:rPr>
                  </w:pPr>
                </w:p>
                <w:p w14:paraId="58FCC676" w14:textId="77777777" w:rsidR="00BB2F46" w:rsidRPr="0097037A" w:rsidRDefault="00BB2F46" w:rsidP="00961229">
                  <w:pPr>
                    <w:framePr w:hSpace="141" w:wrap="around" w:vAnchor="text" w:hAnchor="text" w:x="3205" w:y="-3719"/>
                    <w:rPr>
                      <w:rFonts w:ascii="Calibri" w:eastAsia="SimSun" w:hAnsi="Calibri" w:cs="Times New Roman"/>
                      <w:color w:val="808080"/>
                      <w:sz w:val="18"/>
                      <w:szCs w:val="18"/>
                    </w:rPr>
                  </w:pPr>
                </w:p>
                <w:p w14:paraId="7456805E" w14:textId="77777777" w:rsidR="00BB2F46" w:rsidRPr="0097037A" w:rsidRDefault="00BB2F46" w:rsidP="00961229">
                  <w:pPr>
                    <w:framePr w:hSpace="141" w:wrap="around" w:vAnchor="text" w:hAnchor="text" w:x="3205" w:y="-3719"/>
                    <w:rPr>
                      <w:rFonts w:ascii="Calibri" w:eastAsia="SimSun" w:hAnsi="Calibri" w:cs="Times New Roman"/>
                      <w:color w:val="808080"/>
                      <w:sz w:val="18"/>
                      <w:szCs w:val="18"/>
                    </w:rPr>
                  </w:pPr>
                </w:p>
                <w:p w14:paraId="35879EBE" w14:textId="77777777" w:rsidR="00BB2F46" w:rsidRPr="0097037A" w:rsidRDefault="00BB2F46" w:rsidP="00961229">
                  <w:pPr>
                    <w:framePr w:hSpace="141" w:wrap="around" w:vAnchor="text" w:hAnchor="text" w:x="3205" w:y="-3719"/>
                    <w:rPr>
                      <w:rFonts w:ascii="Calibri" w:eastAsia="SimSun" w:hAnsi="Calibri" w:cs="Times New Roman"/>
                      <w:color w:val="808080"/>
                      <w:sz w:val="18"/>
                      <w:szCs w:val="18"/>
                    </w:rPr>
                  </w:pPr>
                </w:p>
                <w:p w14:paraId="2EE1BDF5" w14:textId="77777777" w:rsidR="00BB2F46" w:rsidRPr="0097037A" w:rsidRDefault="00BB2F46" w:rsidP="00961229">
                  <w:pPr>
                    <w:framePr w:hSpace="141" w:wrap="around" w:vAnchor="text" w:hAnchor="text" w:x="3205" w:y="-3719"/>
                    <w:rPr>
                      <w:rFonts w:ascii="Calibri" w:eastAsia="SimSun" w:hAnsi="Calibri" w:cs="Times New Roman"/>
                      <w:color w:val="808080"/>
                      <w:sz w:val="18"/>
                      <w:szCs w:val="18"/>
                    </w:rPr>
                  </w:pPr>
                  <w:r w:rsidRPr="0097037A">
                    <w:rPr>
                      <w:rFonts w:ascii="Calibri" w:eastAsia="SimSun" w:hAnsi="Calibri" w:cs="Times New Roman"/>
                      <w:color w:val="808080"/>
                      <w:sz w:val="18"/>
                      <w:szCs w:val="18"/>
                    </w:rPr>
                    <w:t xml:space="preserve">le </w:t>
                  </w:r>
                </w:p>
                <w:p w14:paraId="25413F2A" w14:textId="77777777" w:rsidR="00BB2F46" w:rsidRPr="0097037A" w:rsidRDefault="00BB2F46" w:rsidP="00961229">
                  <w:pPr>
                    <w:framePr w:hSpace="141" w:wrap="around" w:vAnchor="text" w:hAnchor="text" w:x="3205" w:y="-3719"/>
                    <w:rPr>
                      <w:rFonts w:ascii="Calibri" w:eastAsia="SimSun" w:hAnsi="Calibri" w:cs="Times New Roman"/>
                      <w:color w:val="808080"/>
                      <w:sz w:val="18"/>
                      <w:szCs w:val="18"/>
                    </w:rPr>
                  </w:pPr>
                  <w:r w:rsidRPr="0097037A">
                    <w:rPr>
                      <w:rFonts w:ascii="Calibri" w:eastAsia="SimSun" w:hAnsi="Calibri" w:cs="Times New Roman"/>
                      <w:color w:val="808080"/>
                      <w:sz w:val="18"/>
                      <w:szCs w:val="18"/>
                    </w:rPr>
                    <w:t>€</w:t>
                  </w:r>
                </w:p>
                <w:p w14:paraId="5320FBF5" w14:textId="77777777" w:rsidR="00BB2F46" w:rsidRPr="0097037A" w:rsidRDefault="00BB2F46" w:rsidP="00961229">
                  <w:pPr>
                    <w:framePr w:hSpace="141" w:wrap="around" w:vAnchor="text" w:hAnchor="text" w:x="3205" w:y="-3719"/>
                    <w:rPr>
                      <w:rFonts w:ascii="Calibri" w:eastAsia="SimSun" w:hAnsi="Calibri" w:cs="Times New Roman"/>
                      <w:color w:val="808080"/>
                      <w:sz w:val="8"/>
                      <w:szCs w:val="8"/>
                    </w:rPr>
                  </w:pPr>
                </w:p>
              </w:tc>
            </w:tr>
          </w:tbl>
          <w:p w14:paraId="3CD65B37" w14:textId="77777777" w:rsidR="00BB2F46" w:rsidRDefault="00BB2F46" w:rsidP="00BB2F46"/>
          <w:p w14:paraId="06762B3E" w14:textId="77777777" w:rsidR="00BB2F46" w:rsidRDefault="00BB2F46" w:rsidP="00BB2F46"/>
        </w:tc>
      </w:tr>
    </w:tbl>
    <w:p w14:paraId="1E2A794F" w14:textId="77777777" w:rsidR="002D50E6" w:rsidRPr="0097037A" w:rsidRDefault="002D50E6" w:rsidP="002D50E6"/>
    <w:p w14:paraId="5E7C89AA" w14:textId="77777777" w:rsidR="002D50E6" w:rsidRPr="0097037A" w:rsidRDefault="002D50E6" w:rsidP="002D50E6">
      <w:pPr>
        <w:rPr>
          <w:rFonts w:ascii="Calibri" w:hAnsi="Calibri"/>
          <w:sz w:val="16"/>
        </w:rPr>
      </w:pPr>
    </w:p>
    <w:tbl>
      <w:tblPr>
        <w:tblW w:w="0" w:type="auto"/>
        <w:tblLayout w:type="fixed"/>
        <w:tblLook w:val="0000" w:firstRow="0" w:lastRow="0" w:firstColumn="0" w:lastColumn="0" w:noHBand="0" w:noVBand="0"/>
      </w:tblPr>
      <w:tblGrid>
        <w:gridCol w:w="389"/>
        <w:gridCol w:w="2419"/>
      </w:tblGrid>
      <w:tr w:rsidR="002D50E6" w:rsidRPr="00F236D7" w14:paraId="2DC9BBDE" w14:textId="77777777" w:rsidTr="0023498F">
        <w:tc>
          <w:tcPr>
            <w:tcW w:w="389" w:type="dxa"/>
            <w:vAlign w:val="center"/>
          </w:tcPr>
          <w:p w14:paraId="6ABA20E9" w14:textId="77777777" w:rsidR="002D50E6" w:rsidRPr="0097037A" w:rsidRDefault="002D50E6" w:rsidP="0023498F">
            <w:pPr>
              <w:snapToGrid w:val="0"/>
              <w:ind w:left="-113"/>
              <w:rPr>
                <w:rFonts w:ascii="Wingdings" w:hAnsi="Wingdings"/>
                <w:sz w:val="32"/>
              </w:rPr>
            </w:pPr>
            <w:r w:rsidRPr="0097037A">
              <w:rPr>
                <w:rFonts w:ascii="Wingdings" w:hAnsi="Wingdings"/>
                <w:sz w:val="32"/>
              </w:rPr>
              <w:t></w:t>
            </w:r>
          </w:p>
        </w:tc>
        <w:tc>
          <w:tcPr>
            <w:tcW w:w="2419" w:type="dxa"/>
            <w:vAlign w:val="center"/>
          </w:tcPr>
          <w:p w14:paraId="018D88E7" w14:textId="77777777" w:rsidR="002D50E6" w:rsidRPr="0097037A" w:rsidRDefault="002D50E6" w:rsidP="0023498F">
            <w:pPr>
              <w:snapToGrid w:val="0"/>
              <w:rPr>
                <w:rFonts w:ascii="Calibri" w:hAnsi="Calibri"/>
                <w:sz w:val="18"/>
              </w:rPr>
            </w:pPr>
            <w:r w:rsidRPr="0097037A">
              <w:rPr>
                <w:rFonts w:ascii="Calibri" w:hAnsi="Calibri"/>
                <w:sz w:val="18"/>
              </w:rPr>
              <w:t>ne pas présenter à l’inspecteur</w:t>
            </w:r>
          </w:p>
        </w:tc>
      </w:tr>
    </w:tbl>
    <w:p w14:paraId="2F390519" w14:textId="77777777" w:rsidR="002D50E6" w:rsidRPr="00E51FE3" w:rsidRDefault="002D50E6" w:rsidP="002D50E6"/>
    <w:tbl>
      <w:tblPr>
        <w:tblW w:w="9228"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8"/>
        <w:gridCol w:w="360"/>
        <w:gridCol w:w="5460"/>
      </w:tblGrid>
      <w:tr w:rsidR="00BB2F46" w14:paraId="5883D008" w14:textId="77777777" w:rsidTr="002E13EE">
        <w:trPr>
          <w:gridBefore w:val="2"/>
          <w:wBefore w:w="3768" w:type="dxa"/>
          <w:trHeight w:val="5155"/>
        </w:trPr>
        <w:tc>
          <w:tcPr>
            <w:tcW w:w="5460" w:type="dxa"/>
          </w:tcPr>
          <w:p w14:paraId="39856012" w14:textId="77777777" w:rsidR="00BB2F46" w:rsidRPr="0097037A" w:rsidRDefault="00BB2F46" w:rsidP="00BB2F46">
            <w:pPr>
              <w:snapToGrid w:val="0"/>
              <w:spacing w:line="260" w:lineRule="atLeast"/>
              <w:rPr>
                <w:rFonts w:ascii="Calibri" w:eastAsia="SimSun" w:hAnsi="Calibri" w:cs="Times New Roman"/>
                <w:b/>
                <w:color w:val="808080"/>
                <w:sz w:val="56"/>
                <w:szCs w:val="56"/>
              </w:rPr>
            </w:pPr>
            <w:r>
              <w:rPr>
                <w:rFonts w:ascii="Calibri" w:eastAsia="SimSun" w:hAnsi="Calibri" w:cs="Times New Roman"/>
                <w:b/>
                <w:color w:val="808080"/>
                <w:sz w:val="56"/>
                <w:szCs w:val="56"/>
              </w:rPr>
              <w:t>Tribunal du travail de LIEGE, D</w:t>
            </w:r>
            <w:r w:rsidRPr="0097037A">
              <w:rPr>
                <w:rFonts w:ascii="Calibri" w:eastAsia="SimSun" w:hAnsi="Calibri" w:cs="Times New Roman"/>
                <w:b/>
                <w:color w:val="808080"/>
                <w:sz w:val="56"/>
                <w:szCs w:val="56"/>
              </w:rPr>
              <w:t xml:space="preserve">ivision </w:t>
            </w:r>
            <w:r>
              <w:rPr>
                <w:rFonts w:ascii="Calibri" w:eastAsia="SimSun" w:hAnsi="Calibri" w:cs="Times New Roman"/>
                <w:b/>
                <w:color w:val="808080"/>
                <w:sz w:val="56"/>
                <w:szCs w:val="56"/>
              </w:rPr>
              <w:t>LIEGE</w:t>
            </w:r>
          </w:p>
          <w:p w14:paraId="4CC3556A" w14:textId="77777777" w:rsidR="00BB2F46" w:rsidRPr="0097037A" w:rsidRDefault="00BB2F46" w:rsidP="00BB2F46">
            <w:pPr>
              <w:pStyle w:val="Plattetekstinspringen2"/>
              <w:ind w:left="0"/>
              <w:rPr>
                <w:rFonts w:ascii="Calibri" w:hAnsi="Calibri"/>
                <w:b/>
                <w:sz w:val="36"/>
                <w:szCs w:val="36"/>
                <w:lang w:val="fr-BE"/>
              </w:rPr>
            </w:pPr>
          </w:p>
          <w:p w14:paraId="7CB08E95" w14:textId="77777777" w:rsidR="00BB2F46" w:rsidRPr="0097037A" w:rsidRDefault="00BB2F46" w:rsidP="00BB2F46">
            <w:pPr>
              <w:pStyle w:val="Plattetekstinspringen2"/>
              <w:ind w:left="0"/>
              <w:rPr>
                <w:rFonts w:ascii="Calibri" w:hAnsi="Calibri"/>
                <w:b/>
                <w:sz w:val="56"/>
                <w:szCs w:val="56"/>
                <w:lang w:val="fr-BE"/>
              </w:rPr>
            </w:pPr>
            <w:r w:rsidRPr="0097037A">
              <w:rPr>
                <w:rFonts w:ascii="Calibri" w:hAnsi="Calibri"/>
                <w:b/>
                <w:sz w:val="56"/>
                <w:szCs w:val="56"/>
                <w:lang w:val="fr-BE"/>
              </w:rPr>
              <w:t>Jugement</w:t>
            </w:r>
          </w:p>
          <w:p w14:paraId="1C5AEA7C" w14:textId="77777777" w:rsidR="00BB2F46" w:rsidRPr="0097037A" w:rsidRDefault="00BB2F46" w:rsidP="00BB2F46">
            <w:pPr>
              <w:rPr>
                <w:rFonts w:ascii="Calibri" w:hAnsi="Calibri"/>
                <w:sz w:val="36"/>
                <w:szCs w:val="36"/>
              </w:rPr>
            </w:pPr>
          </w:p>
          <w:p w14:paraId="66E2505D" w14:textId="77777777" w:rsidR="00BB2F46" w:rsidRPr="0097037A" w:rsidRDefault="00BB2F46" w:rsidP="00BB2F46">
            <w:pPr>
              <w:rPr>
                <w:rFonts w:ascii="Calibri" w:hAnsi="Calibri"/>
                <w:sz w:val="36"/>
                <w:szCs w:val="36"/>
              </w:rPr>
            </w:pPr>
            <w:r w:rsidRPr="0097037A">
              <w:rPr>
                <w:rFonts w:ascii="Calibri" w:hAnsi="Calibri"/>
                <w:sz w:val="36"/>
                <w:szCs w:val="36"/>
              </w:rPr>
              <w:t xml:space="preserve"> </w:t>
            </w:r>
            <w:r w:rsidRPr="00051E30">
              <w:rPr>
                <w:rFonts w:ascii="Calibri" w:hAnsi="Calibri" w:cs="Calibri"/>
                <w:b/>
                <w:sz w:val="32"/>
                <w:szCs w:val="32"/>
                <w:u w:val="single"/>
              </w:rPr>
              <w:t>Quatrième chambre</w:t>
            </w:r>
          </w:p>
          <w:p w14:paraId="1331FE44" w14:textId="77777777" w:rsidR="00BB2F46" w:rsidRDefault="00BB2F46" w:rsidP="00BB2F46">
            <w:pPr>
              <w:rPr>
                <w:rFonts w:ascii="Calibri" w:hAnsi="Calibri"/>
                <w:sz w:val="36"/>
                <w:szCs w:val="36"/>
                <w:lang w:val="nl-NL"/>
              </w:rPr>
            </w:pPr>
          </w:p>
          <w:p w14:paraId="7FF4418E" w14:textId="77777777" w:rsidR="00BB2F46" w:rsidRDefault="00BB2F46" w:rsidP="002D50E6">
            <w:pPr>
              <w:pStyle w:val="Textebrut"/>
              <w:rPr>
                <w:rFonts w:asciiTheme="minorHAnsi" w:hAnsiTheme="minorHAnsi" w:cstheme="minorHAnsi"/>
                <w:b/>
                <w:sz w:val="32"/>
                <w:szCs w:val="32"/>
                <w:u w:val="single"/>
              </w:rPr>
            </w:pPr>
          </w:p>
        </w:tc>
      </w:tr>
      <w:tr w:rsidR="00BB2F46" w14:paraId="70F68F28" w14:textId="77777777" w:rsidTr="00BB2F46">
        <w:trPr>
          <w:gridAfter w:val="2"/>
          <w:wAfter w:w="5820" w:type="dxa"/>
          <w:trHeight w:val="936"/>
        </w:trPr>
        <w:tc>
          <w:tcPr>
            <w:tcW w:w="3408" w:type="dxa"/>
          </w:tcPr>
          <w:p w14:paraId="53D0AF07" w14:textId="77777777" w:rsidR="00BB2F46" w:rsidRPr="0097037A" w:rsidRDefault="00BB2F46" w:rsidP="00BB2F46">
            <w:pPr>
              <w:snapToGrid w:val="0"/>
              <w:ind w:right="252"/>
              <w:rPr>
                <w:rFonts w:ascii="Calibri" w:hAnsi="Calibri"/>
                <w:sz w:val="18"/>
              </w:rPr>
            </w:pPr>
            <w:r w:rsidRPr="0097037A">
              <w:rPr>
                <w:rFonts w:ascii="Calibri" w:hAnsi="Calibri"/>
                <w:sz w:val="18"/>
              </w:rPr>
              <w:t>présenté le</w:t>
            </w:r>
          </w:p>
          <w:p w14:paraId="07D77D82" w14:textId="77777777" w:rsidR="00BB2F46" w:rsidRDefault="00BB2F46" w:rsidP="00BB2F46">
            <w:pPr>
              <w:pStyle w:val="Textebrut"/>
              <w:ind w:left="600"/>
              <w:rPr>
                <w:rFonts w:asciiTheme="minorHAnsi" w:hAnsiTheme="minorHAnsi" w:cstheme="minorHAnsi"/>
                <w:b/>
                <w:sz w:val="32"/>
                <w:szCs w:val="32"/>
                <w:u w:val="single"/>
              </w:rPr>
            </w:pPr>
          </w:p>
        </w:tc>
      </w:tr>
      <w:tr w:rsidR="00BB2F46" w14:paraId="32E31B00" w14:textId="77777777" w:rsidTr="00BB2F46">
        <w:trPr>
          <w:gridAfter w:val="2"/>
          <w:wAfter w:w="5820" w:type="dxa"/>
          <w:trHeight w:val="936"/>
        </w:trPr>
        <w:tc>
          <w:tcPr>
            <w:tcW w:w="3408" w:type="dxa"/>
          </w:tcPr>
          <w:p w14:paraId="3DDEF4CE" w14:textId="77777777" w:rsidR="00BB2F46" w:rsidRPr="0097037A" w:rsidRDefault="00BB2F46" w:rsidP="00BB2F46">
            <w:pPr>
              <w:snapToGrid w:val="0"/>
              <w:ind w:right="252"/>
              <w:rPr>
                <w:rFonts w:ascii="Calibri" w:hAnsi="Calibri"/>
                <w:sz w:val="18"/>
              </w:rPr>
            </w:pPr>
            <w:r w:rsidRPr="0097037A">
              <w:rPr>
                <w:rFonts w:ascii="Calibri" w:hAnsi="Calibri"/>
                <w:sz w:val="18"/>
              </w:rPr>
              <w:t>ne pas enregistrer</w:t>
            </w:r>
          </w:p>
          <w:p w14:paraId="2D6265AB" w14:textId="77777777" w:rsidR="00BB2F46" w:rsidRPr="0097037A" w:rsidRDefault="00BB2F46" w:rsidP="00BB2F46">
            <w:pPr>
              <w:snapToGrid w:val="0"/>
              <w:ind w:right="252"/>
              <w:rPr>
                <w:rFonts w:ascii="Calibri" w:hAnsi="Calibri"/>
                <w:sz w:val="18"/>
              </w:rPr>
            </w:pPr>
          </w:p>
        </w:tc>
      </w:tr>
    </w:tbl>
    <w:p w14:paraId="4D8FAC96" w14:textId="77777777" w:rsidR="00BB2F46" w:rsidRPr="008A5ACB" w:rsidRDefault="00BB2F46" w:rsidP="00BB2F46">
      <w:pPr>
        <w:pStyle w:val="Textebrut"/>
        <w:rPr>
          <w:rFonts w:asciiTheme="minorHAnsi" w:hAnsiTheme="minorHAnsi" w:cstheme="minorHAnsi"/>
          <w:b/>
          <w:sz w:val="32"/>
          <w:szCs w:val="32"/>
          <w:u w:val="single"/>
        </w:rPr>
      </w:pPr>
    </w:p>
    <w:p w14:paraId="1BDCCB50" w14:textId="77777777" w:rsidR="00AF4830" w:rsidRDefault="00AF4830" w:rsidP="00AF4830">
      <w:pPr>
        <w:rPr>
          <w:rFonts w:asciiTheme="minorHAnsi" w:hAnsiTheme="minorHAnsi" w:cstheme="minorHAnsi"/>
          <w:b/>
          <w:bCs/>
          <w:color w:val="000000" w:themeColor="text1"/>
          <w:sz w:val="22"/>
          <w:szCs w:val="22"/>
          <w:u w:val="single"/>
          <w:lang w:val="fr-FR" w:bidi="fr-BE"/>
        </w:rPr>
      </w:pPr>
      <w:bookmarkStart w:id="0" w:name="defendeur"/>
      <w:bookmarkStart w:id="1" w:name="niveau"/>
    </w:p>
    <w:p w14:paraId="00708738" w14:textId="77777777" w:rsidR="005311A8" w:rsidRDefault="005311A8" w:rsidP="00AF4830">
      <w:pPr>
        <w:rPr>
          <w:rFonts w:asciiTheme="minorHAnsi" w:hAnsiTheme="minorHAnsi" w:cstheme="minorHAnsi"/>
          <w:b/>
          <w:bCs/>
          <w:color w:val="000000" w:themeColor="text1"/>
          <w:sz w:val="22"/>
          <w:szCs w:val="22"/>
          <w:u w:val="single"/>
          <w:lang w:val="fr-FR" w:bidi="fr-BE"/>
        </w:rPr>
      </w:pPr>
    </w:p>
    <w:p w14:paraId="780029EF" w14:textId="77777777" w:rsidR="008A2294" w:rsidRPr="00E9706E" w:rsidRDefault="008A2294" w:rsidP="00340823">
      <w:pPr>
        <w:jc w:val="both"/>
        <w:rPr>
          <w:rFonts w:asciiTheme="minorHAnsi" w:hAnsiTheme="minorHAnsi" w:cstheme="minorHAnsi"/>
          <w:b/>
          <w:bCs/>
          <w:color w:val="000000" w:themeColor="text1"/>
          <w:lang w:bidi="fr-BE"/>
        </w:rPr>
      </w:pPr>
      <w:r w:rsidRPr="00E9706E">
        <w:rPr>
          <w:rFonts w:asciiTheme="minorHAnsi" w:hAnsiTheme="minorHAnsi" w:cstheme="minorHAnsi"/>
          <w:b/>
          <w:bCs/>
          <w:color w:val="000000" w:themeColor="text1"/>
          <w:u w:val="single"/>
          <w:lang w:val="fr-FR" w:bidi="fr-BE"/>
        </w:rPr>
        <w:t>En cause</w:t>
      </w:r>
      <w:r w:rsidRPr="00E9706E">
        <w:rPr>
          <w:rFonts w:asciiTheme="minorHAnsi" w:hAnsiTheme="minorHAnsi" w:cstheme="minorHAnsi"/>
          <w:b/>
          <w:bCs/>
          <w:color w:val="000000" w:themeColor="text1"/>
          <w:lang w:val="fr-FR" w:bidi="fr-BE"/>
        </w:rPr>
        <w:t xml:space="preserve"> </w:t>
      </w:r>
      <w:r w:rsidRPr="00E9706E">
        <w:rPr>
          <w:rFonts w:asciiTheme="minorHAnsi" w:hAnsiTheme="minorHAnsi" w:cstheme="minorHAnsi"/>
          <w:b/>
          <w:bCs/>
          <w:color w:val="000000" w:themeColor="text1"/>
          <w:lang w:bidi="fr-BE"/>
        </w:rPr>
        <w:t>:</w:t>
      </w:r>
    </w:p>
    <w:p w14:paraId="3955B7AD" w14:textId="77777777" w:rsidR="008A2294" w:rsidRPr="00E9706E" w:rsidRDefault="008A2294" w:rsidP="00340823">
      <w:pPr>
        <w:jc w:val="both"/>
        <w:rPr>
          <w:rFonts w:asciiTheme="minorHAnsi" w:hAnsiTheme="minorHAnsi" w:cstheme="minorHAnsi"/>
          <w:color w:val="000000" w:themeColor="text1"/>
          <w:lang w:bidi="fr-BE"/>
        </w:rPr>
      </w:pPr>
      <w:r w:rsidRPr="00E9706E">
        <w:rPr>
          <w:rFonts w:asciiTheme="minorHAnsi" w:hAnsiTheme="minorHAnsi" w:cstheme="minorHAnsi"/>
          <w:b/>
          <w:bCs/>
          <w:color w:val="000000" w:themeColor="text1"/>
          <w:lang w:bidi="fr-BE"/>
        </w:rPr>
        <w:t xml:space="preserve"> </w:t>
      </w:r>
    </w:p>
    <w:p w14:paraId="287444FC" w14:textId="4DA82158" w:rsidR="008A2294" w:rsidRPr="00E9706E" w:rsidRDefault="00961229" w:rsidP="00340823">
      <w:pPr>
        <w:widowControl/>
        <w:ind w:left="1365"/>
        <w:jc w:val="both"/>
        <w:rPr>
          <w:rFonts w:asciiTheme="minorHAnsi" w:eastAsia="Arial" w:hAnsiTheme="minorHAnsi" w:cstheme="minorHAnsi"/>
          <w:lang w:bidi="fr-BE"/>
        </w:rPr>
      </w:pPr>
      <w:bookmarkStart w:id="2" w:name="demandeur"/>
      <w:r>
        <w:rPr>
          <w:rFonts w:asciiTheme="minorHAnsi" w:eastAsia="Arial" w:hAnsiTheme="minorHAnsi" w:cstheme="minorHAnsi"/>
          <w:b/>
          <w:bCs/>
          <w:color w:val="000000" w:themeColor="text1"/>
          <w:lang w:bidi="fr-BE"/>
        </w:rPr>
        <w:t>M</w:t>
      </w:r>
      <w:r w:rsidR="008A2294" w:rsidRPr="00E9706E">
        <w:rPr>
          <w:rFonts w:asciiTheme="minorHAnsi" w:eastAsia="Arial" w:hAnsiTheme="minorHAnsi" w:cstheme="minorHAnsi"/>
          <w:b/>
          <w:bCs/>
          <w:color w:val="000000" w:themeColor="text1"/>
          <w:lang w:bidi="fr-BE"/>
        </w:rPr>
        <w:t xml:space="preserve"> , </w:t>
      </w:r>
      <w:r w:rsidR="008A2294" w:rsidRPr="00E9706E">
        <w:rPr>
          <w:rFonts w:asciiTheme="minorHAnsi" w:eastAsia="Arial" w:hAnsiTheme="minorHAnsi" w:cstheme="minorHAnsi"/>
          <w:color w:val="000000" w:themeColor="text1"/>
          <w:lang w:bidi="fr-BE"/>
        </w:rPr>
        <w:t xml:space="preserve">(RN: </w:t>
      </w:r>
      <w:r>
        <w:rPr>
          <w:rFonts w:asciiTheme="minorHAnsi" w:eastAsia="Arial" w:hAnsiTheme="minorHAnsi" w:cstheme="minorHAnsi"/>
          <w:color w:val="000000" w:themeColor="text1"/>
          <w:lang w:bidi="fr-BE"/>
        </w:rPr>
        <w:t>……</w:t>
      </w:r>
      <w:r w:rsidR="008A2294" w:rsidRPr="00E9706E">
        <w:rPr>
          <w:rFonts w:asciiTheme="minorHAnsi" w:eastAsia="Arial" w:hAnsiTheme="minorHAnsi" w:cstheme="minorHAnsi"/>
          <w:color w:val="000000" w:themeColor="text1"/>
          <w:lang w:bidi="fr-BE"/>
        </w:rPr>
        <w:t>)</w:t>
      </w:r>
      <w:r w:rsidR="008A2294" w:rsidRPr="00E9706E">
        <w:rPr>
          <w:rFonts w:asciiTheme="minorHAnsi" w:eastAsia="Arial" w:hAnsiTheme="minorHAnsi" w:cstheme="minorHAnsi"/>
          <w:lang w:bidi="fr-BE"/>
        </w:rPr>
        <w:t>,</w:t>
      </w:r>
    </w:p>
    <w:p w14:paraId="0F8748EC" w14:textId="19187E00" w:rsidR="008A2294" w:rsidRPr="00E9706E" w:rsidRDefault="000A488D" w:rsidP="00340823">
      <w:pPr>
        <w:widowControl/>
        <w:ind w:left="1365"/>
        <w:jc w:val="both"/>
        <w:rPr>
          <w:rFonts w:asciiTheme="minorHAnsi" w:eastAsia="Arial" w:hAnsiTheme="minorHAnsi" w:cstheme="minorHAnsi"/>
          <w:color w:val="000000" w:themeColor="text1"/>
          <w:lang w:bidi="fr-BE"/>
        </w:rPr>
      </w:pPr>
      <w:proofErr w:type="spellStart"/>
      <w:r w:rsidRPr="00E9706E">
        <w:rPr>
          <w:rFonts w:asciiTheme="minorHAnsi" w:eastAsia="Arial" w:hAnsiTheme="minorHAnsi" w:cstheme="minorHAnsi"/>
          <w:color w:val="000000" w:themeColor="text1"/>
          <w:lang w:bidi="fr-BE"/>
        </w:rPr>
        <w:t>Domiclié</w:t>
      </w:r>
      <w:proofErr w:type="spellEnd"/>
      <w:r w:rsidRPr="00E9706E">
        <w:rPr>
          <w:rFonts w:asciiTheme="minorHAnsi" w:eastAsia="Arial" w:hAnsiTheme="minorHAnsi" w:cstheme="minorHAnsi"/>
          <w:color w:val="000000" w:themeColor="text1"/>
          <w:lang w:bidi="fr-BE"/>
        </w:rPr>
        <w:t xml:space="preserve"> </w:t>
      </w:r>
      <w:r w:rsidR="008A2294" w:rsidRPr="00E9706E">
        <w:rPr>
          <w:rFonts w:asciiTheme="minorHAnsi" w:eastAsia="Arial" w:hAnsiTheme="minorHAnsi" w:cstheme="minorHAnsi"/>
          <w:color w:val="000000" w:themeColor="text1"/>
          <w:lang w:bidi="fr-BE"/>
        </w:rPr>
        <w:t xml:space="preserve">Rue </w:t>
      </w:r>
      <w:r w:rsidR="00961229">
        <w:rPr>
          <w:rFonts w:asciiTheme="minorHAnsi" w:eastAsia="Arial" w:hAnsiTheme="minorHAnsi" w:cstheme="minorHAnsi"/>
          <w:color w:val="000000" w:themeColor="text1"/>
          <w:lang w:bidi="fr-BE"/>
        </w:rPr>
        <w:t>…..</w:t>
      </w:r>
    </w:p>
    <w:p w14:paraId="54054340" w14:textId="77777777" w:rsidR="008A2294" w:rsidRPr="00E9706E" w:rsidRDefault="000A488D" w:rsidP="00340823">
      <w:pPr>
        <w:widowControl/>
        <w:ind w:left="1365"/>
        <w:jc w:val="both"/>
        <w:rPr>
          <w:rFonts w:asciiTheme="minorHAnsi" w:eastAsia="Arial" w:hAnsiTheme="minorHAnsi" w:cstheme="minorHAnsi"/>
          <w:color w:val="000000" w:themeColor="text1"/>
          <w:lang w:bidi="fr-BE"/>
        </w:rPr>
      </w:pPr>
      <w:r w:rsidRPr="00E9706E">
        <w:rPr>
          <w:rFonts w:asciiTheme="minorHAnsi" w:eastAsia="Arial" w:hAnsiTheme="minorHAnsi" w:cstheme="minorHAnsi"/>
          <w:color w:val="000000" w:themeColor="text1"/>
          <w:u w:val="single"/>
          <w:lang w:bidi="fr-BE"/>
        </w:rPr>
        <w:t xml:space="preserve">Faisant élection de domicile </w:t>
      </w:r>
      <w:r w:rsidRPr="00E9706E">
        <w:rPr>
          <w:rFonts w:asciiTheme="minorHAnsi" w:eastAsia="Arial" w:hAnsiTheme="minorHAnsi" w:cstheme="minorHAnsi"/>
          <w:color w:val="000000" w:themeColor="text1"/>
          <w:lang w:bidi="fr-BE"/>
        </w:rPr>
        <w:t xml:space="preserve">en l’étude de son conseil, Me DECKERS, </w:t>
      </w:r>
    </w:p>
    <w:p w14:paraId="68F1CCF5" w14:textId="77777777" w:rsidR="000A488D" w:rsidRPr="00E9706E" w:rsidRDefault="000A488D" w:rsidP="00340823">
      <w:pPr>
        <w:widowControl/>
        <w:ind w:left="1365"/>
        <w:jc w:val="both"/>
        <w:rPr>
          <w:rFonts w:asciiTheme="minorHAnsi" w:eastAsia="Arial" w:hAnsiTheme="minorHAnsi" w:cstheme="minorHAnsi"/>
          <w:color w:val="000000" w:themeColor="text1"/>
          <w:lang w:bidi="fr-BE"/>
        </w:rPr>
      </w:pPr>
    </w:p>
    <w:p w14:paraId="1F50C3A0" w14:textId="77777777" w:rsidR="008A2294" w:rsidRPr="00E9706E" w:rsidRDefault="008A2294" w:rsidP="00340823">
      <w:pPr>
        <w:widowControl/>
        <w:ind w:left="1365"/>
        <w:jc w:val="both"/>
        <w:rPr>
          <w:rFonts w:asciiTheme="minorHAnsi" w:eastAsia="Arial" w:hAnsiTheme="minorHAnsi" w:cstheme="minorHAnsi"/>
          <w:lang w:bidi="fr-BE"/>
        </w:rPr>
      </w:pPr>
      <w:r w:rsidRPr="00E9706E">
        <w:rPr>
          <w:rFonts w:asciiTheme="minorHAnsi" w:eastAsia="Arial" w:hAnsiTheme="minorHAnsi" w:cstheme="minorHAnsi"/>
          <w:u w:val="single"/>
          <w:lang w:bidi="fr-BE"/>
        </w:rPr>
        <w:t>Partie demanderesse</w:t>
      </w:r>
      <w:r w:rsidRPr="00E9706E">
        <w:rPr>
          <w:rFonts w:asciiTheme="minorHAnsi" w:eastAsia="Arial" w:hAnsiTheme="minorHAnsi" w:cstheme="minorHAnsi"/>
          <w:lang w:bidi="fr-BE"/>
        </w:rPr>
        <w:t xml:space="preserve">, </w:t>
      </w:r>
      <w:r w:rsidR="000A488D" w:rsidRPr="00E9706E">
        <w:rPr>
          <w:rFonts w:asciiTheme="minorHAnsi" w:eastAsia="Arial" w:hAnsiTheme="minorHAnsi" w:cstheme="minorHAnsi"/>
          <w:lang w:bidi="fr-BE"/>
        </w:rPr>
        <w:t xml:space="preserve">comparaissant personnellement et assistée par ses conseils, Me DANAU VINCENT et </w:t>
      </w:r>
      <w:bookmarkStart w:id="3" w:name="demavoc"/>
      <w:r w:rsidR="000A488D" w:rsidRPr="00E9706E">
        <w:rPr>
          <w:rFonts w:asciiTheme="minorHAnsi" w:eastAsia="Arial" w:hAnsiTheme="minorHAnsi" w:cstheme="minorHAnsi"/>
          <w:lang w:bidi="fr-BE"/>
        </w:rPr>
        <w:t xml:space="preserve">Me </w:t>
      </w:r>
      <w:r w:rsidRPr="00E9706E">
        <w:rPr>
          <w:rFonts w:asciiTheme="minorHAnsi" w:eastAsia="Arial" w:hAnsiTheme="minorHAnsi" w:cstheme="minorHAnsi"/>
          <w:lang w:bidi="fr-BE"/>
        </w:rPr>
        <w:t>DECKERS HERVE, avocat</w:t>
      </w:r>
      <w:r w:rsidR="000A488D" w:rsidRPr="00E9706E">
        <w:rPr>
          <w:rFonts w:asciiTheme="minorHAnsi" w:eastAsia="Arial" w:hAnsiTheme="minorHAnsi" w:cstheme="minorHAnsi"/>
          <w:lang w:bidi="fr-BE"/>
        </w:rPr>
        <w:t>s</w:t>
      </w:r>
      <w:r w:rsidRPr="00E9706E">
        <w:rPr>
          <w:rFonts w:asciiTheme="minorHAnsi" w:eastAsia="Arial" w:hAnsiTheme="minorHAnsi" w:cstheme="minorHAnsi"/>
          <w:lang w:bidi="fr-BE"/>
        </w:rPr>
        <w:t xml:space="preserve">, à 4460  GRACE-HOLLOGNE, Rue Saint-Exupéry, 17B11,BAT17, </w:t>
      </w:r>
    </w:p>
    <w:bookmarkEnd w:id="3"/>
    <w:p w14:paraId="786D84D3" w14:textId="77777777" w:rsidR="008A2294" w:rsidRPr="00E9706E" w:rsidRDefault="008A2294" w:rsidP="00340823">
      <w:pPr>
        <w:widowControl/>
        <w:ind w:left="1350"/>
        <w:jc w:val="both"/>
        <w:rPr>
          <w:rFonts w:asciiTheme="minorHAnsi" w:eastAsia="Arial" w:hAnsiTheme="minorHAnsi" w:cstheme="minorHAnsi"/>
          <w:color w:val="000000" w:themeColor="text1"/>
          <w:lang w:bidi="fr-BE"/>
        </w:rPr>
      </w:pPr>
    </w:p>
    <w:bookmarkEnd w:id="2"/>
    <w:p w14:paraId="1C8D793B" w14:textId="77777777" w:rsidR="008A2294" w:rsidRPr="00E9706E" w:rsidRDefault="008A2294" w:rsidP="00340823">
      <w:pPr>
        <w:widowControl/>
        <w:jc w:val="both"/>
        <w:rPr>
          <w:rFonts w:asciiTheme="minorHAnsi" w:eastAsia="Arial" w:hAnsiTheme="minorHAnsi" w:cstheme="minorHAnsi"/>
          <w:b/>
          <w:color w:val="000000" w:themeColor="text1"/>
          <w:u w:val="single"/>
          <w:lang w:bidi="fr-BE"/>
        </w:rPr>
      </w:pPr>
      <w:r w:rsidRPr="00E9706E">
        <w:rPr>
          <w:rFonts w:asciiTheme="minorHAnsi" w:eastAsia="Arial" w:hAnsiTheme="minorHAnsi" w:cstheme="minorHAnsi"/>
          <w:b/>
          <w:color w:val="000000" w:themeColor="text1"/>
          <w:u w:val="single"/>
          <w:lang w:bidi="fr-BE"/>
        </w:rPr>
        <w:t>Contre :</w:t>
      </w:r>
    </w:p>
    <w:p w14:paraId="7A709988" w14:textId="77777777" w:rsidR="005B5D9D" w:rsidRPr="00E9706E" w:rsidRDefault="005B5D9D" w:rsidP="00340823">
      <w:pPr>
        <w:widowControl/>
        <w:jc w:val="both"/>
        <w:rPr>
          <w:rFonts w:asciiTheme="minorHAnsi" w:eastAsia="Arial" w:hAnsiTheme="minorHAnsi" w:cstheme="minorHAnsi"/>
          <w:b/>
          <w:color w:val="000000" w:themeColor="text1"/>
          <w:u w:val="single"/>
          <w:lang w:bidi="fr-BE"/>
        </w:rPr>
      </w:pPr>
    </w:p>
    <w:p w14:paraId="4CBEF316" w14:textId="77777777" w:rsidR="008A2294" w:rsidRPr="00E9706E" w:rsidRDefault="008A2294" w:rsidP="00340823">
      <w:pPr>
        <w:widowControl/>
        <w:ind w:left="1418"/>
        <w:jc w:val="both"/>
        <w:rPr>
          <w:rFonts w:asciiTheme="minorHAnsi" w:eastAsia="Arial" w:hAnsiTheme="minorHAnsi" w:cstheme="minorHAnsi"/>
          <w:color w:val="000000" w:themeColor="text1"/>
          <w:lang w:bidi="fr-BE"/>
        </w:rPr>
      </w:pPr>
      <w:r w:rsidRPr="00E9706E">
        <w:rPr>
          <w:rFonts w:asciiTheme="minorHAnsi" w:eastAsia="Arial" w:hAnsiTheme="minorHAnsi" w:cstheme="minorHAnsi"/>
          <w:b/>
          <w:bCs/>
          <w:color w:val="000000" w:themeColor="text1"/>
          <w:lang w:bidi="fr-BE"/>
        </w:rPr>
        <w:t>AILE FRANC</w:t>
      </w:r>
      <w:r w:rsidR="00811779" w:rsidRPr="00E9706E">
        <w:rPr>
          <w:rFonts w:asciiTheme="minorHAnsi" w:eastAsia="Arial" w:hAnsiTheme="minorHAnsi" w:cstheme="minorHAnsi"/>
          <w:b/>
          <w:bCs/>
          <w:color w:val="000000" w:themeColor="text1"/>
          <w:lang w:bidi="fr-BE"/>
        </w:rPr>
        <w:t>OPHONE DE LA</w:t>
      </w:r>
      <w:r w:rsidRPr="00E9706E">
        <w:rPr>
          <w:rFonts w:asciiTheme="minorHAnsi" w:eastAsia="Arial" w:hAnsiTheme="minorHAnsi" w:cstheme="minorHAnsi"/>
          <w:b/>
          <w:bCs/>
          <w:color w:val="000000" w:themeColor="text1"/>
          <w:lang w:bidi="fr-BE"/>
        </w:rPr>
        <w:t xml:space="preserve"> FEDERATION R</w:t>
      </w:r>
      <w:r w:rsidR="00811779" w:rsidRPr="00E9706E">
        <w:rPr>
          <w:rFonts w:asciiTheme="minorHAnsi" w:eastAsia="Arial" w:hAnsiTheme="minorHAnsi" w:cstheme="minorHAnsi"/>
          <w:b/>
          <w:bCs/>
          <w:color w:val="000000" w:themeColor="text1"/>
          <w:lang w:bidi="fr-BE"/>
        </w:rPr>
        <w:t xml:space="preserve">OYALE </w:t>
      </w:r>
      <w:r w:rsidRPr="00E9706E">
        <w:rPr>
          <w:rFonts w:asciiTheme="minorHAnsi" w:eastAsia="Arial" w:hAnsiTheme="minorHAnsi" w:cstheme="minorHAnsi"/>
          <w:b/>
          <w:bCs/>
          <w:color w:val="000000" w:themeColor="text1"/>
          <w:lang w:bidi="fr-BE"/>
        </w:rPr>
        <w:t>B</w:t>
      </w:r>
      <w:r w:rsidR="00811779" w:rsidRPr="00E9706E">
        <w:rPr>
          <w:rFonts w:asciiTheme="minorHAnsi" w:eastAsia="Arial" w:hAnsiTheme="minorHAnsi" w:cstheme="minorHAnsi"/>
          <w:b/>
          <w:bCs/>
          <w:color w:val="000000" w:themeColor="text1"/>
          <w:lang w:bidi="fr-BE"/>
        </w:rPr>
        <w:t>ELGE DE</w:t>
      </w:r>
      <w:r w:rsidRPr="00E9706E">
        <w:rPr>
          <w:rFonts w:asciiTheme="minorHAnsi" w:eastAsia="Arial" w:hAnsiTheme="minorHAnsi" w:cstheme="minorHAnsi"/>
          <w:b/>
          <w:bCs/>
          <w:color w:val="000000" w:themeColor="text1"/>
          <w:lang w:bidi="fr-BE"/>
        </w:rPr>
        <w:t xml:space="preserve"> TENNIS </w:t>
      </w:r>
      <w:r w:rsidR="00811779" w:rsidRPr="00E9706E">
        <w:rPr>
          <w:rFonts w:asciiTheme="minorHAnsi" w:eastAsia="Arial" w:hAnsiTheme="minorHAnsi" w:cstheme="minorHAnsi"/>
          <w:b/>
          <w:bCs/>
          <w:color w:val="000000" w:themeColor="text1"/>
          <w:lang w:bidi="fr-BE"/>
        </w:rPr>
        <w:t xml:space="preserve">DE </w:t>
      </w:r>
      <w:r w:rsidRPr="00E9706E">
        <w:rPr>
          <w:rFonts w:asciiTheme="minorHAnsi" w:eastAsia="Arial" w:hAnsiTheme="minorHAnsi" w:cstheme="minorHAnsi"/>
          <w:b/>
          <w:bCs/>
          <w:color w:val="000000" w:themeColor="text1"/>
          <w:lang w:bidi="fr-BE"/>
        </w:rPr>
        <w:t>TABLES A</w:t>
      </w:r>
      <w:r w:rsidR="00877B44" w:rsidRPr="00E9706E">
        <w:rPr>
          <w:rFonts w:asciiTheme="minorHAnsi" w:eastAsia="Arial" w:hAnsiTheme="minorHAnsi" w:cstheme="minorHAnsi"/>
          <w:b/>
          <w:bCs/>
          <w:color w:val="000000" w:themeColor="text1"/>
          <w:lang w:bidi="fr-BE"/>
        </w:rPr>
        <w:t>.</w:t>
      </w:r>
      <w:r w:rsidRPr="00E9706E">
        <w:rPr>
          <w:rFonts w:asciiTheme="minorHAnsi" w:eastAsia="Arial" w:hAnsiTheme="minorHAnsi" w:cstheme="minorHAnsi"/>
          <w:b/>
          <w:bCs/>
          <w:color w:val="000000" w:themeColor="text1"/>
          <w:lang w:bidi="fr-BE"/>
        </w:rPr>
        <w:t>S</w:t>
      </w:r>
      <w:r w:rsidR="00877B44" w:rsidRPr="00E9706E">
        <w:rPr>
          <w:rFonts w:asciiTheme="minorHAnsi" w:eastAsia="Arial" w:hAnsiTheme="minorHAnsi" w:cstheme="minorHAnsi"/>
          <w:b/>
          <w:bCs/>
          <w:color w:val="000000" w:themeColor="text1"/>
          <w:lang w:bidi="fr-BE"/>
        </w:rPr>
        <w:t>.</w:t>
      </w:r>
      <w:r w:rsidRPr="00E9706E">
        <w:rPr>
          <w:rFonts w:asciiTheme="minorHAnsi" w:eastAsia="Arial" w:hAnsiTheme="minorHAnsi" w:cstheme="minorHAnsi"/>
          <w:b/>
          <w:bCs/>
          <w:color w:val="000000" w:themeColor="text1"/>
          <w:lang w:bidi="fr-BE"/>
        </w:rPr>
        <w:t>B</w:t>
      </w:r>
      <w:r w:rsidR="00877B44" w:rsidRPr="00E9706E">
        <w:rPr>
          <w:rFonts w:asciiTheme="minorHAnsi" w:eastAsia="Arial" w:hAnsiTheme="minorHAnsi" w:cstheme="minorHAnsi"/>
          <w:b/>
          <w:bCs/>
          <w:color w:val="000000" w:themeColor="text1"/>
          <w:lang w:bidi="fr-BE"/>
        </w:rPr>
        <w:t>.</w:t>
      </w:r>
      <w:r w:rsidRPr="00E9706E">
        <w:rPr>
          <w:rFonts w:asciiTheme="minorHAnsi" w:eastAsia="Arial" w:hAnsiTheme="minorHAnsi" w:cstheme="minorHAnsi"/>
          <w:b/>
          <w:bCs/>
          <w:color w:val="000000" w:themeColor="text1"/>
          <w:lang w:bidi="fr-BE"/>
        </w:rPr>
        <w:t>L</w:t>
      </w:r>
      <w:r w:rsidR="00877B44" w:rsidRPr="00E9706E">
        <w:rPr>
          <w:rFonts w:asciiTheme="minorHAnsi" w:eastAsia="Arial" w:hAnsiTheme="minorHAnsi" w:cstheme="minorHAnsi"/>
          <w:b/>
          <w:bCs/>
          <w:color w:val="000000" w:themeColor="text1"/>
          <w:lang w:bidi="fr-BE"/>
        </w:rPr>
        <w:t>.</w:t>
      </w:r>
      <w:r w:rsidRPr="00E9706E">
        <w:rPr>
          <w:rFonts w:asciiTheme="minorHAnsi" w:eastAsia="Arial" w:hAnsiTheme="minorHAnsi" w:cstheme="minorHAnsi"/>
          <w:lang w:val="fr-FR" w:bidi="fr-BE"/>
        </w:rPr>
        <w:t>,</w:t>
      </w:r>
      <w:r w:rsidRPr="00E9706E">
        <w:rPr>
          <w:rFonts w:asciiTheme="minorHAnsi" w:eastAsia="Arial" w:hAnsiTheme="minorHAnsi" w:cstheme="minorHAnsi"/>
          <w:color w:val="0000FF"/>
          <w:lang w:val="fr-FR" w:bidi="fr-BE"/>
        </w:rPr>
        <w:t xml:space="preserve"> </w:t>
      </w:r>
      <w:r w:rsidRPr="00E9706E">
        <w:rPr>
          <w:rFonts w:asciiTheme="minorHAnsi" w:eastAsia="Arial" w:hAnsiTheme="minorHAnsi" w:cstheme="minorHAnsi"/>
          <w:bCs/>
          <w:color w:val="000000" w:themeColor="text1"/>
          <w:lang w:bidi="fr-BE"/>
        </w:rPr>
        <w:t>(BCE: 0419.163.031)</w:t>
      </w:r>
      <w:r w:rsidRPr="00E9706E">
        <w:rPr>
          <w:rFonts w:asciiTheme="minorHAnsi" w:eastAsia="Arial" w:hAnsiTheme="minorHAnsi" w:cstheme="minorHAnsi"/>
          <w:lang w:val="fr-FR" w:bidi="fr-BE"/>
        </w:rPr>
        <w:t>,</w:t>
      </w:r>
    </w:p>
    <w:p w14:paraId="5480766C" w14:textId="77777777" w:rsidR="008A2294" w:rsidRPr="00E9706E" w:rsidRDefault="000A488D" w:rsidP="00340823">
      <w:pPr>
        <w:widowControl/>
        <w:ind w:left="1418"/>
        <w:jc w:val="both"/>
        <w:rPr>
          <w:rFonts w:asciiTheme="minorHAnsi" w:eastAsia="Arial" w:hAnsiTheme="minorHAnsi" w:cstheme="minorHAnsi"/>
          <w:color w:val="000000" w:themeColor="text1"/>
          <w:lang w:bidi="fr-BE"/>
        </w:rPr>
      </w:pPr>
      <w:r w:rsidRPr="00E9706E">
        <w:rPr>
          <w:rFonts w:asciiTheme="minorHAnsi" w:eastAsia="Arial" w:hAnsiTheme="minorHAnsi" w:cstheme="minorHAnsi"/>
          <w:color w:val="000000" w:themeColor="text1"/>
          <w:lang w:bidi="fr-BE"/>
        </w:rPr>
        <w:t xml:space="preserve">Dont le siège social est situé </w:t>
      </w:r>
      <w:r w:rsidR="008A2294" w:rsidRPr="00E9706E">
        <w:rPr>
          <w:rFonts w:asciiTheme="minorHAnsi" w:eastAsia="Arial" w:hAnsiTheme="minorHAnsi" w:cstheme="minorHAnsi"/>
          <w:color w:val="000000" w:themeColor="text1"/>
          <w:lang w:bidi="fr-BE"/>
        </w:rPr>
        <w:t xml:space="preserve">Rue Pierre du Diable 46 à 5100 NAMUR </w:t>
      </w:r>
    </w:p>
    <w:p w14:paraId="5F4BE87F" w14:textId="77777777" w:rsidR="008A2294" w:rsidRPr="00E9706E" w:rsidRDefault="008A2294" w:rsidP="00340823">
      <w:pPr>
        <w:widowControl/>
        <w:ind w:left="1418"/>
        <w:jc w:val="both"/>
        <w:rPr>
          <w:rFonts w:asciiTheme="minorHAnsi" w:eastAsia="Arial" w:hAnsiTheme="minorHAnsi" w:cstheme="minorHAnsi"/>
          <w:color w:val="000000" w:themeColor="text1"/>
          <w:lang w:bidi="fr-BE"/>
        </w:rPr>
      </w:pPr>
    </w:p>
    <w:p w14:paraId="7E23331D" w14:textId="77777777" w:rsidR="008A2294" w:rsidRPr="00E9706E" w:rsidRDefault="008A2294" w:rsidP="00340823">
      <w:pPr>
        <w:widowControl/>
        <w:ind w:left="1418"/>
        <w:jc w:val="both"/>
        <w:rPr>
          <w:rFonts w:asciiTheme="minorHAnsi" w:eastAsia="Arial" w:hAnsiTheme="minorHAnsi" w:cstheme="minorHAnsi"/>
          <w:lang w:bidi="fr-BE"/>
        </w:rPr>
      </w:pPr>
      <w:r w:rsidRPr="00E9706E">
        <w:rPr>
          <w:rFonts w:asciiTheme="minorHAnsi" w:eastAsia="Arial" w:hAnsiTheme="minorHAnsi" w:cstheme="minorHAnsi"/>
          <w:u w:val="single"/>
          <w:lang w:bidi="fr-BE"/>
        </w:rPr>
        <w:t>Partie défenderesse</w:t>
      </w:r>
      <w:r w:rsidRPr="00E9706E">
        <w:rPr>
          <w:rFonts w:asciiTheme="minorHAnsi" w:eastAsia="Arial" w:hAnsiTheme="minorHAnsi" w:cstheme="minorHAnsi"/>
          <w:lang w:bidi="fr-BE"/>
        </w:rPr>
        <w:t xml:space="preserve">, </w:t>
      </w:r>
    </w:p>
    <w:p w14:paraId="276CDDB7" w14:textId="77777777" w:rsidR="008A2294" w:rsidRPr="00E9706E" w:rsidRDefault="000A488D" w:rsidP="00340823">
      <w:pPr>
        <w:widowControl/>
        <w:ind w:left="1418"/>
        <w:jc w:val="both"/>
        <w:rPr>
          <w:rFonts w:asciiTheme="minorHAnsi" w:eastAsia="Arial" w:hAnsiTheme="minorHAnsi" w:cstheme="minorHAnsi"/>
          <w:lang w:bidi="fr-BE"/>
        </w:rPr>
      </w:pPr>
      <w:bookmarkStart w:id="4" w:name="defavoc"/>
      <w:r w:rsidRPr="00E9706E">
        <w:rPr>
          <w:rFonts w:asciiTheme="minorHAnsi" w:eastAsia="Arial" w:hAnsiTheme="minorHAnsi" w:cstheme="minorHAnsi"/>
          <w:lang w:bidi="fr-BE"/>
        </w:rPr>
        <w:t>Comparaissant par M</w:t>
      </w:r>
      <w:r w:rsidR="008A2294" w:rsidRPr="00E9706E">
        <w:rPr>
          <w:rFonts w:asciiTheme="minorHAnsi" w:eastAsia="Arial" w:hAnsiTheme="minorHAnsi" w:cstheme="minorHAnsi"/>
          <w:lang w:bidi="fr-BE"/>
        </w:rPr>
        <w:t xml:space="preserve">e MONIOTTE JEAN-FRANCOIS, avocat, à 6800 LIBRAMONT-CHEVIGNY, Rue du </w:t>
      </w:r>
      <w:proofErr w:type="spellStart"/>
      <w:r w:rsidR="008A2294" w:rsidRPr="00E9706E">
        <w:rPr>
          <w:rFonts w:asciiTheme="minorHAnsi" w:eastAsia="Arial" w:hAnsiTheme="minorHAnsi" w:cstheme="minorHAnsi"/>
          <w:lang w:bidi="fr-BE"/>
        </w:rPr>
        <w:t>Serpont</w:t>
      </w:r>
      <w:proofErr w:type="spellEnd"/>
      <w:r w:rsidR="008A2294" w:rsidRPr="00E9706E">
        <w:rPr>
          <w:rFonts w:asciiTheme="minorHAnsi" w:eastAsia="Arial" w:hAnsiTheme="minorHAnsi" w:cstheme="minorHAnsi"/>
          <w:lang w:bidi="fr-BE"/>
        </w:rPr>
        <w:t xml:space="preserve">, 29a Bte 2, </w:t>
      </w:r>
      <w:bookmarkEnd w:id="4"/>
    </w:p>
    <w:p w14:paraId="16828AD4" w14:textId="77777777" w:rsidR="004420CB" w:rsidRPr="00340823" w:rsidRDefault="004420CB" w:rsidP="00340823">
      <w:pPr>
        <w:widowControl/>
        <w:jc w:val="both"/>
        <w:rPr>
          <w:rFonts w:asciiTheme="minorHAnsi" w:eastAsia="Arial" w:hAnsiTheme="minorHAnsi" w:cstheme="minorHAnsi"/>
          <w:color w:val="000000" w:themeColor="text1"/>
          <w:sz w:val="22"/>
          <w:szCs w:val="22"/>
          <w:lang w:bidi="fr-BE"/>
        </w:rPr>
      </w:pPr>
    </w:p>
    <w:bookmarkEnd w:id="0"/>
    <w:bookmarkEnd w:id="1"/>
    <w:p w14:paraId="29149639" w14:textId="77777777" w:rsidR="00465C44" w:rsidRPr="00340823" w:rsidRDefault="00465C44" w:rsidP="00340823">
      <w:pPr>
        <w:widowControl/>
        <w:jc w:val="both"/>
        <w:rPr>
          <w:rFonts w:asciiTheme="minorHAnsi" w:eastAsia="Arial" w:hAnsiTheme="minorHAnsi" w:cstheme="minorHAnsi"/>
          <w:color w:val="000000" w:themeColor="text1"/>
          <w:sz w:val="22"/>
          <w:szCs w:val="22"/>
          <w:lang w:bidi="fr-BE"/>
        </w:rPr>
      </w:pPr>
    </w:p>
    <w:p w14:paraId="15D3CCD2" w14:textId="77777777" w:rsidR="004420CB" w:rsidRPr="00340823" w:rsidRDefault="004420CB" w:rsidP="00340823">
      <w:pPr>
        <w:pStyle w:val="Textebrut"/>
        <w:pBdr>
          <w:top w:val="single" w:sz="4" w:space="1" w:color="auto"/>
        </w:pBdr>
        <w:tabs>
          <w:tab w:val="left" w:pos="1843"/>
        </w:tabs>
        <w:jc w:val="both"/>
        <w:rPr>
          <w:rFonts w:asciiTheme="minorHAnsi" w:hAnsiTheme="minorHAnsi" w:cstheme="minorHAnsi"/>
          <w:b/>
          <w:sz w:val="22"/>
          <w:szCs w:val="22"/>
          <w:u w:val="single"/>
        </w:rPr>
      </w:pPr>
    </w:p>
    <w:p w14:paraId="79654C08" w14:textId="77777777" w:rsidR="000A488D" w:rsidRPr="006E2F26" w:rsidRDefault="000A488D" w:rsidP="00340823">
      <w:pPr>
        <w:pStyle w:val="Textebrut"/>
        <w:numPr>
          <w:ilvl w:val="0"/>
          <w:numId w:val="8"/>
        </w:numPr>
        <w:tabs>
          <w:tab w:val="left" w:pos="1843"/>
        </w:tabs>
        <w:jc w:val="both"/>
        <w:rPr>
          <w:rFonts w:asciiTheme="minorHAnsi" w:hAnsiTheme="minorHAnsi" w:cstheme="minorHAnsi"/>
          <w:b/>
          <w:sz w:val="24"/>
          <w:szCs w:val="24"/>
          <w:u w:val="single"/>
        </w:rPr>
      </w:pPr>
      <w:r w:rsidRPr="006E2F26">
        <w:rPr>
          <w:rFonts w:asciiTheme="minorHAnsi" w:hAnsiTheme="minorHAnsi" w:cstheme="minorHAnsi"/>
          <w:b/>
          <w:sz w:val="24"/>
          <w:szCs w:val="24"/>
          <w:u w:val="single"/>
        </w:rPr>
        <w:t>PROCEDURE</w:t>
      </w:r>
    </w:p>
    <w:p w14:paraId="3E22D481" w14:textId="77777777" w:rsidR="000A488D" w:rsidRPr="006E2F26" w:rsidRDefault="000A488D" w:rsidP="00340823">
      <w:pPr>
        <w:pStyle w:val="Textebrut"/>
        <w:tabs>
          <w:tab w:val="left" w:pos="1843"/>
        </w:tabs>
        <w:jc w:val="both"/>
        <w:rPr>
          <w:rFonts w:asciiTheme="minorHAnsi" w:hAnsiTheme="minorHAnsi" w:cstheme="minorHAnsi"/>
          <w:sz w:val="24"/>
          <w:szCs w:val="24"/>
        </w:rPr>
      </w:pPr>
    </w:p>
    <w:p w14:paraId="593F2D9B" w14:textId="77777777" w:rsidR="000A488D" w:rsidRPr="006E2F26" w:rsidRDefault="0097420A" w:rsidP="00340823">
      <w:pPr>
        <w:widowControl/>
        <w:suppressAutoHyphens w:val="0"/>
        <w:jc w:val="both"/>
        <w:rPr>
          <w:rFonts w:asciiTheme="minorHAnsi" w:eastAsia="Times New Roman" w:hAnsiTheme="minorHAnsi" w:cstheme="minorHAnsi"/>
          <w:kern w:val="0"/>
          <w:lang w:val="fr-FR" w:eastAsia="en-US"/>
        </w:rPr>
      </w:pPr>
      <w:r w:rsidRPr="006E2F26">
        <w:rPr>
          <w:rFonts w:asciiTheme="minorHAnsi" w:eastAsia="Times New Roman" w:hAnsiTheme="minorHAnsi" w:cstheme="minorHAnsi"/>
          <w:kern w:val="0"/>
          <w:lang w:val="fr-FR" w:eastAsia="en-US"/>
        </w:rPr>
        <w:t xml:space="preserve">A la clôture des débats, </w:t>
      </w:r>
      <w:r w:rsidR="000A488D" w:rsidRPr="006E2F26">
        <w:rPr>
          <w:rFonts w:asciiTheme="minorHAnsi" w:eastAsia="Times New Roman" w:hAnsiTheme="minorHAnsi" w:cstheme="minorHAnsi"/>
          <w:kern w:val="0"/>
          <w:lang w:val="fr-FR" w:eastAsia="en-US"/>
        </w:rPr>
        <w:t>les pièces du dossier de la procédure</w:t>
      </w:r>
      <w:r w:rsidRPr="006E2F26">
        <w:rPr>
          <w:rFonts w:asciiTheme="minorHAnsi" w:eastAsia="Times New Roman" w:hAnsiTheme="minorHAnsi" w:cstheme="minorHAnsi"/>
          <w:kern w:val="0"/>
          <w:lang w:val="fr-FR" w:eastAsia="en-US"/>
        </w:rPr>
        <w:t xml:space="preserve"> étaient essentiellement</w:t>
      </w:r>
      <w:r w:rsidR="000A488D" w:rsidRPr="006E2F26">
        <w:rPr>
          <w:rFonts w:asciiTheme="minorHAnsi" w:eastAsia="Times New Roman" w:hAnsiTheme="minorHAnsi" w:cstheme="minorHAnsi"/>
          <w:kern w:val="0"/>
          <w:lang w:val="fr-FR" w:eastAsia="en-US"/>
        </w:rPr>
        <w:t> </w:t>
      </w:r>
      <w:r w:rsidRPr="006E2F26">
        <w:rPr>
          <w:rFonts w:asciiTheme="minorHAnsi" w:eastAsia="Times New Roman" w:hAnsiTheme="minorHAnsi" w:cstheme="minorHAnsi"/>
          <w:kern w:val="0"/>
          <w:lang w:val="fr-FR" w:eastAsia="en-US"/>
        </w:rPr>
        <w:t xml:space="preserve">les suivantes </w:t>
      </w:r>
      <w:r w:rsidR="000A488D" w:rsidRPr="006E2F26">
        <w:rPr>
          <w:rFonts w:asciiTheme="minorHAnsi" w:eastAsia="Times New Roman" w:hAnsiTheme="minorHAnsi" w:cstheme="minorHAnsi"/>
          <w:kern w:val="0"/>
          <w:lang w:val="fr-FR" w:eastAsia="en-US"/>
        </w:rPr>
        <w:t>:</w:t>
      </w:r>
    </w:p>
    <w:p w14:paraId="67C57DDB" w14:textId="77777777" w:rsidR="000A488D" w:rsidRPr="006E2F26" w:rsidRDefault="000A488D" w:rsidP="00340823">
      <w:pPr>
        <w:widowControl/>
        <w:suppressAutoHyphens w:val="0"/>
        <w:jc w:val="both"/>
        <w:rPr>
          <w:rFonts w:asciiTheme="minorHAnsi" w:eastAsia="Times New Roman" w:hAnsiTheme="minorHAnsi" w:cstheme="minorHAnsi"/>
          <w:kern w:val="0"/>
          <w:lang w:val="fr-FR" w:eastAsia="en-US"/>
        </w:rPr>
      </w:pPr>
    </w:p>
    <w:p w14:paraId="1E7A1FA4" w14:textId="77777777" w:rsidR="000A488D" w:rsidRPr="006E2F26" w:rsidRDefault="000A488D" w:rsidP="00340823">
      <w:pPr>
        <w:widowControl/>
        <w:numPr>
          <w:ilvl w:val="0"/>
          <w:numId w:val="7"/>
        </w:numPr>
        <w:suppressAutoHyphens w:val="0"/>
        <w:ind w:left="567" w:hanging="567"/>
        <w:jc w:val="both"/>
        <w:textAlignment w:val="auto"/>
        <w:rPr>
          <w:rFonts w:asciiTheme="minorHAnsi" w:eastAsia="Times New Roman" w:hAnsiTheme="minorHAnsi" w:cstheme="minorHAnsi"/>
          <w:kern w:val="0"/>
          <w:lang w:val="fr-FR" w:eastAsia="en-US"/>
        </w:rPr>
      </w:pPr>
      <w:r w:rsidRPr="006E2F26">
        <w:rPr>
          <w:rFonts w:asciiTheme="minorHAnsi" w:eastAsia="Times New Roman" w:hAnsiTheme="minorHAnsi" w:cstheme="minorHAnsi"/>
          <w:kern w:val="0"/>
          <w:lang w:val="fr-FR" w:eastAsia="en-US"/>
        </w:rPr>
        <w:t>la requête introductive d’instance reçue</w:t>
      </w:r>
      <w:r w:rsidR="00811779" w:rsidRPr="006E2F26">
        <w:rPr>
          <w:rFonts w:asciiTheme="minorHAnsi" w:eastAsia="Times New Roman" w:hAnsiTheme="minorHAnsi" w:cstheme="minorHAnsi"/>
          <w:kern w:val="0"/>
          <w:lang w:val="fr-FR" w:eastAsia="en-US"/>
        </w:rPr>
        <w:t xml:space="preserve"> au greffe le 24/12/2020</w:t>
      </w:r>
      <w:r w:rsidRPr="006E2F26">
        <w:rPr>
          <w:rFonts w:asciiTheme="minorHAnsi" w:eastAsia="Times New Roman" w:hAnsiTheme="minorHAnsi" w:cstheme="minorHAnsi"/>
          <w:kern w:val="0"/>
          <w:lang w:val="fr-FR" w:eastAsia="en-US"/>
        </w:rPr>
        <w:t> ;</w:t>
      </w:r>
    </w:p>
    <w:p w14:paraId="4E1C8B54" w14:textId="77777777" w:rsidR="000A488D" w:rsidRPr="006E2F26" w:rsidRDefault="00811779" w:rsidP="00340823">
      <w:pPr>
        <w:widowControl/>
        <w:numPr>
          <w:ilvl w:val="0"/>
          <w:numId w:val="7"/>
        </w:numPr>
        <w:suppressAutoHyphens w:val="0"/>
        <w:ind w:left="567" w:hanging="567"/>
        <w:jc w:val="both"/>
        <w:textAlignment w:val="auto"/>
        <w:rPr>
          <w:rFonts w:asciiTheme="minorHAnsi" w:eastAsia="Times New Roman" w:hAnsiTheme="minorHAnsi" w:cstheme="minorHAnsi"/>
          <w:kern w:val="0"/>
          <w:lang w:val="fr-FR" w:eastAsia="en-US"/>
        </w:rPr>
      </w:pPr>
      <w:r w:rsidRPr="006E2F26">
        <w:rPr>
          <w:rFonts w:asciiTheme="minorHAnsi" w:eastAsia="Times New Roman" w:hAnsiTheme="minorHAnsi" w:cstheme="minorHAnsi"/>
          <w:kern w:val="0"/>
          <w:lang w:val="fr-FR" w:eastAsia="en-US"/>
        </w:rPr>
        <w:t>l’ordonnance 747§1 CJ rendue le 16/3/2021</w:t>
      </w:r>
      <w:r w:rsidR="000A488D" w:rsidRPr="006E2F26">
        <w:rPr>
          <w:rFonts w:asciiTheme="minorHAnsi" w:eastAsia="Times New Roman" w:hAnsiTheme="minorHAnsi" w:cstheme="minorHAnsi"/>
          <w:kern w:val="0"/>
          <w:lang w:val="fr-FR" w:eastAsia="en-US"/>
        </w:rPr>
        <w:t xml:space="preserve"> ; </w:t>
      </w:r>
    </w:p>
    <w:p w14:paraId="3819EA8F" w14:textId="77777777" w:rsidR="000A488D" w:rsidRPr="006E2F26" w:rsidRDefault="000A488D" w:rsidP="00340823">
      <w:pPr>
        <w:widowControl/>
        <w:numPr>
          <w:ilvl w:val="0"/>
          <w:numId w:val="7"/>
        </w:numPr>
        <w:suppressAutoHyphens w:val="0"/>
        <w:ind w:left="567" w:hanging="567"/>
        <w:jc w:val="both"/>
        <w:textAlignment w:val="auto"/>
        <w:rPr>
          <w:rFonts w:asciiTheme="minorHAnsi" w:eastAsia="Times New Roman" w:hAnsiTheme="minorHAnsi" w:cstheme="minorHAnsi"/>
          <w:kern w:val="0"/>
          <w:lang w:val="fr-FR" w:eastAsia="en-US"/>
        </w:rPr>
      </w:pPr>
      <w:r w:rsidRPr="006E2F26">
        <w:rPr>
          <w:rFonts w:asciiTheme="minorHAnsi" w:eastAsia="Times New Roman" w:hAnsiTheme="minorHAnsi" w:cstheme="minorHAnsi"/>
          <w:kern w:val="0"/>
          <w:lang w:val="fr-FR" w:eastAsia="en-US"/>
        </w:rPr>
        <w:t xml:space="preserve">les conclusions </w:t>
      </w:r>
      <w:r w:rsidR="00811779" w:rsidRPr="006E2F26">
        <w:rPr>
          <w:rFonts w:asciiTheme="minorHAnsi" w:eastAsia="Times New Roman" w:hAnsiTheme="minorHAnsi" w:cstheme="minorHAnsi"/>
          <w:kern w:val="0"/>
          <w:lang w:val="fr-FR" w:eastAsia="en-US"/>
        </w:rPr>
        <w:t>des parties</w:t>
      </w:r>
      <w:r w:rsidRPr="006E2F26">
        <w:rPr>
          <w:rFonts w:asciiTheme="minorHAnsi" w:eastAsia="Times New Roman" w:hAnsiTheme="minorHAnsi" w:cstheme="minorHAnsi"/>
          <w:kern w:val="0"/>
          <w:lang w:val="fr-FR" w:eastAsia="en-US"/>
        </w:rPr>
        <w:t> ;</w:t>
      </w:r>
    </w:p>
    <w:p w14:paraId="55485002" w14:textId="77777777" w:rsidR="000A488D" w:rsidRPr="006E2F26" w:rsidRDefault="000A488D" w:rsidP="00340823">
      <w:pPr>
        <w:widowControl/>
        <w:numPr>
          <w:ilvl w:val="0"/>
          <w:numId w:val="7"/>
        </w:numPr>
        <w:suppressAutoHyphens w:val="0"/>
        <w:ind w:left="567" w:hanging="567"/>
        <w:jc w:val="both"/>
        <w:textAlignment w:val="auto"/>
        <w:rPr>
          <w:rFonts w:asciiTheme="minorHAnsi" w:eastAsia="Times New Roman" w:hAnsiTheme="minorHAnsi" w:cstheme="minorHAnsi"/>
          <w:kern w:val="0"/>
          <w:lang w:val="fr-FR" w:eastAsia="en-US"/>
        </w:rPr>
      </w:pPr>
      <w:r w:rsidRPr="006E2F26">
        <w:rPr>
          <w:rFonts w:asciiTheme="minorHAnsi" w:eastAsia="Times New Roman" w:hAnsiTheme="minorHAnsi" w:cstheme="minorHAnsi"/>
          <w:kern w:val="0"/>
          <w:lang w:val="fr-FR" w:eastAsia="en-US"/>
        </w:rPr>
        <w:t>le</w:t>
      </w:r>
      <w:r w:rsidR="00811779" w:rsidRPr="006E2F26">
        <w:rPr>
          <w:rFonts w:asciiTheme="minorHAnsi" w:eastAsia="Times New Roman" w:hAnsiTheme="minorHAnsi" w:cstheme="minorHAnsi"/>
          <w:kern w:val="0"/>
          <w:lang w:val="fr-FR" w:eastAsia="en-US"/>
        </w:rPr>
        <w:t>s</w:t>
      </w:r>
      <w:r w:rsidRPr="006E2F26">
        <w:rPr>
          <w:rFonts w:asciiTheme="minorHAnsi" w:eastAsia="Times New Roman" w:hAnsiTheme="minorHAnsi" w:cstheme="minorHAnsi"/>
          <w:kern w:val="0"/>
          <w:lang w:val="fr-FR" w:eastAsia="en-US"/>
        </w:rPr>
        <w:t xml:space="preserve"> dossier</w:t>
      </w:r>
      <w:r w:rsidR="00811779" w:rsidRPr="006E2F26">
        <w:rPr>
          <w:rFonts w:asciiTheme="minorHAnsi" w:eastAsia="Times New Roman" w:hAnsiTheme="minorHAnsi" w:cstheme="minorHAnsi"/>
          <w:kern w:val="0"/>
          <w:lang w:val="fr-FR" w:eastAsia="en-US"/>
        </w:rPr>
        <w:t>s</w:t>
      </w:r>
      <w:r w:rsidRPr="006E2F26">
        <w:rPr>
          <w:rFonts w:asciiTheme="minorHAnsi" w:eastAsia="Times New Roman" w:hAnsiTheme="minorHAnsi" w:cstheme="minorHAnsi"/>
          <w:kern w:val="0"/>
          <w:lang w:val="fr-FR" w:eastAsia="en-US"/>
        </w:rPr>
        <w:t xml:space="preserve"> </w:t>
      </w:r>
      <w:r w:rsidR="00811779" w:rsidRPr="006E2F26">
        <w:rPr>
          <w:rFonts w:asciiTheme="minorHAnsi" w:eastAsia="Times New Roman" w:hAnsiTheme="minorHAnsi" w:cstheme="minorHAnsi"/>
          <w:kern w:val="0"/>
          <w:lang w:val="fr-FR" w:eastAsia="en-US"/>
        </w:rPr>
        <w:t>des parties</w:t>
      </w:r>
      <w:r w:rsidRPr="006E2F26">
        <w:rPr>
          <w:rFonts w:asciiTheme="minorHAnsi" w:eastAsia="Times New Roman" w:hAnsiTheme="minorHAnsi" w:cstheme="minorHAnsi"/>
          <w:kern w:val="0"/>
          <w:lang w:val="fr-FR" w:eastAsia="en-US"/>
        </w:rPr>
        <w:t xml:space="preserve"> ;</w:t>
      </w:r>
    </w:p>
    <w:p w14:paraId="52323152" w14:textId="77777777" w:rsidR="000A488D" w:rsidRPr="006E2F26" w:rsidRDefault="000A488D" w:rsidP="00340823">
      <w:pPr>
        <w:widowControl/>
        <w:numPr>
          <w:ilvl w:val="0"/>
          <w:numId w:val="7"/>
        </w:numPr>
        <w:suppressAutoHyphens w:val="0"/>
        <w:ind w:left="567" w:hanging="567"/>
        <w:jc w:val="both"/>
        <w:textAlignment w:val="auto"/>
        <w:rPr>
          <w:rFonts w:asciiTheme="minorHAnsi" w:eastAsia="Times New Roman" w:hAnsiTheme="minorHAnsi" w:cstheme="minorHAnsi"/>
          <w:spacing w:val="-2"/>
          <w:kern w:val="0"/>
          <w:lang w:val="fr-FR" w:eastAsia="en-US"/>
        </w:rPr>
      </w:pPr>
      <w:r w:rsidRPr="006E2F26">
        <w:rPr>
          <w:rFonts w:asciiTheme="minorHAnsi" w:eastAsia="Times New Roman" w:hAnsiTheme="minorHAnsi" w:cstheme="minorHAnsi"/>
          <w:kern w:val="0"/>
          <w:lang w:val="fr-FR" w:eastAsia="en-US"/>
        </w:rPr>
        <w:t xml:space="preserve">le </w:t>
      </w:r>
      <w:r w:rsidRPr="006E2F26">
        <w:rPr>
          <w:rFonts w:asciiTheme="minorHAnsi" w:eastAsia="Times New Roman" w:hAnsiTheme="minorHAnsi" w:cstheme="minorHAnsi"/>
          <w:spacing w:val="-2"/>
          <w:kern w:val="0"/>
          <w:lang w:val="fr-FR" w:eastAsia="en-US"/>
        </w:rPr>
        <w:t>dossier de l’Auditorat du Travail.</w:t>
      </w:r>
    </w:p>
    <w:p w14:paraId="6A9AF366" w14:textId="77777777" w:rsidR="000A488D" w:rsidRPr="006E2F26" w:rsidRDefault="000A488D" w:rsidP="00340823">
      <w:pPr>
        <w:widowControl/>
        <w:tabs>
          <w:tab w:val="left" w:pos="-720"/>
        </w:tabs>
        <w:jc w:val="both"/>
        <w:rPr>
          <w:rFonts w:asciiTheme="minorHAnsi" w:eastAsia="Times New Roman" w:hAnsiTheme="minorHAnsi" w:cstheme="minorHAnsi"/>
          <w:spacing w:val="-2"/>
          <w:kern w:val="0"/>
          <w:lang w:val="fr-FR" w:eastAsia="en-US"/>
        </w:rPr>
      </w:pPr>
    </w:p>
    <w:p w14:paraId="55787D60" w14:textId="77777777" w:rsidR="000A488D" w:rsidRPr="006E2F26" w:rsidRDefault="0097420A" w:rsidP="00340823">
      <w:pPr>
        <w:widowControl/>
        <w:tabs>
          <w:tab w:val="left" w:pos="-720"/>
        </w:tabs>
        <w:jc w:val="both"/>
        <w:rPr>
          <w:rFonts w:asciiTheme="minorHAnsi" w:eastAsia="Times New Roman" w:hAnsiTheme="minorHAnsi" w:cstheme="minorHAnsi"/>
          <w:kern w:val="0"/>
          <w:lang w:eastAsia="en-US"/>
        </w:rPr>
      </w:pPr>
      <w:r w:rsidRPr="006E2F26">
        <w:rPr>
          <w:rFonts w:asciiTheme="minorHAnsi" w:eastAsia="Times New Roman" w:hAnsiTheme="minorHAnsi" w:cstheme="minorHAnsi"/>
          <w:spacing w:val="-2"/>
          <w:kern w:val="0"/>
          <w:lang w:val="fr-FR" w:eastAsia="en-US"/>
        </w:rPr>
        <w:t>L</w:t>
      </w:r>
      <w:r w:rsidR="000A488D" w:rsidRPr="006E2F26">
        <w:rPr>
          <w:rFonts w:asciiTheme="minorHAnsi" w:eastAsia="Times New Roman" w:hAnsiTheme="minorHAnsi" w:cstheme="minorHAnsi"/>
          <w:spacing w:val="-2"/>
          <w:kern w:val="0"/>
          <w:lang w:val="fr-FR" w:eastAsia="en-US"/>
        </w:rPr>
        <w:t xml:space="preserve">es </w:t>
      </w:r>
      <w:r w:rsidRPr="006E2F26">
        <w:rPr>
          <w:rFonts w:asciiTheme="minorHAnsi" w:eastAsia="Times New Roman" w:hAnsiTheme="minorHAnsi" w:cstheme="minorHAnsi"/>
          <w:spacing w:val="-2"/>
          <w:kern w:val="0"/>
          <w:lang w:val="fr-FR" w:eastAsia="en-US"/>
        </w:rPr>
        <w:t xml:space="preserve">arguments des </w:t>
      </w:r>
      <w:r w:rsidR="000A488D" w:rsidRPr="006E2F26">
        <w:rPr>
          <w:rFonts w:asciiTheme="minorHAnsi" w:eastAsia="Times New Roman" w:hAnsiTheme="minorHAnsi" w:cstheme="minorHAnsi"/>
          <w:spacing w:val="-2"/>
          <w:kern w:val="0"/>
          <w:lang w:val="fr-FR" w:eastAsia="en-US"/>
        </w:rPr>
        <w:t xml:space="preserve">parties présentes ou représentées </w:t>
      </w:r>
      <w:r w:rsidRPr="006E2F26">
        <w:rPr>
          <w:rFonts w:asciiTheme="minorHAnsi" w:eastAsia="Times New Roman" w:hAnsiTheme="minorHAnsi" w:cstheme="minorHAnsi"/>
          <w:spacing w:val="-2"/>
          <w:kern w:val="0"/>
          <w:lang w:val="fr-FR" w:eastAsia="en-US"/>
        </w:rPr>
        <w:t>ont été entendus</w:t>
      </w:r>
      <w:r w:rsidR="000A488D" w:rsidRPr="006E2F26">
        <w:rPr>
          <w:rFonts w:asciiTheme="minorHAnsi" w:eastAsia="Times New Roman" w:hAnsiTheme="minorHAnsi" w:cstheme="minorHAnsi"/>
          <w:spacing w:val="-2"/>
          <w:kern w:val="0"/>
          <w:lang w:val="fr-FR" w:eastAsia="en-US"/>
        </w:rPr>
        <w:t xml:space="preserve"> à l’audience du </w:t>
      </w:r>
      <w:r w:rsidR="000A488D" w:rsidRPr="006E2F26">
        <w:rPr>
          <w:rFonts w:asciiTheme="minorHAnsi" w:eastAsia="Times New Roman" w:hAnsiTheme="minorHAnsi" w:cstheme="minorHAnsi"/>
          <w:b/>
          <w:kern w:val="0"/>
          <w:lang w:eastAsia="en-US"/>
        </w:rPr>
        <w:t>28/2/2022</w:t>
      </w:r>
      <w:r w:rsidR="000A488D" w:rsidRPr="006E2F26">
        <w:rPr>
          <w:rFonts w:asciiTheme="minorHAnsi" w:eastAsia="Times New Roman" w:hAnsiTheme="minorHAnsi" w:cstheme="minorHAnsi"/>
          <w:kern w:val="0"/>
          <w:lang w:eastAsia="en-US"/>
        </w:rPr>
        <w:t>.</w:t>
      </w:r>
    </w:p>
    <w:p w14:paraId="0A6EA63E" w14:textId="77777777" w:rsidR="0097420A" w:rsidRPr="006E2F26" w:rsidRDefault="0097420A" w:rsidP="00340823">
      <w:pPr>
        <w:widowControl/>
        <w:tabs>
          <w:tab w:val="left" w:pos="-720"/>
        </w:tabs>
        <w:jc w:val="both"/>
        <w:rPr>
          <w:rFonts w:asciiTheme="minorHAnsi" w:eastAsia="Times New Roman" w:hAnsiTheme="minorHAnsi" w:cstheme="minorHAnsi"/>
          <w:spacing w:val="-2"/>
          <w:kern w:val="0"/>
          <w:lang w:val="fr-FR" w:eastAsia="en-US"/>
        </w:rPr>
      </w:pPr>
    </w:p>
    <w:p w14:paraId="51EC4E3F" w14:textId="77777777" w:rsidR="000A488D" w:rsidRPr="006E2F26" w:rsidRDefault="0097420A" w:rsidP="00340823">
      <w:pPr>
        <w:widowControl/>
        <w:tabs>
          <w:tab w:val="left" w:pos="-720"/>
        </w:tabs>
        <w:jc w:val="both"/>
        <w:rPr>
          <w:rFonts w:asciiTheme="minorHAnsi" w:eastAsia="Times New Roman" w:hAnsiTheme="minorHAnsi" w:cstheme="minorHAnsi"/>
          <w:spacing w:val="-2"/>
          <w:kern w:val="0"/>
          <w:lang w:val="fr-FR" w:eastAsia="en-US"/>
        </w:rPr>
      </w:pPr>
      <w:r w:rsidRPr="006E2F26">
        <w:rPr>
          <w:rFonts w:asciiTheme="minorHAnsi" w:eastAsia="Times New Roman" w:hAnsiTheme="minorHAnsi" w:cstheme="minorHAnsi"/>
          <w:kern w:val="0"/>
          <w:lang w:val="fr-FR" w:eastAsia="en-US"/>
        </w:rPr>
        <w:t>Le Tribunal tient notamment compte de la loi du 15 juin 1935 concernant l’emploi des langues en matière judiciaire.</w:t>
      </w:r>
    </w:p>
    <w:p w14:paraId="7182A9CA" w14:textId="77777777" w:rsidR="000A488D" w:rsidRPr="006E2F26" w:rsidRDefault="000A488D" w:rsidP="00340823">
      <w:pPr>
        <w:pStyle w:val="Textebrut"/>
        <w:tabs>
          <w:tab w:val="left" w:pos="1843"/>
        </w:tabs>
        <w:jc w:val="both"/>
        <w:rPr>
          <w:rFonts w:asciiTheme="minorHAnsi" w:hAnsiTheme="minorHAnsi" w:cstheme="minorHAnsi"/>
          <w:b/>
          <w:sz w:val="24"/>
          <w:szCs w:val="24"/>
          <w:u w:val="single"/>
          <w:lang w:val="fr-FR"/>
        </w:rPr>
      </w:pPr>
    </w:p>
    <w:p w14:paraId="3CB8A198" w14:textId="77777777" w:rsidR="006E2F26" w:rsidRPr="006E2F26" w:rsidRDefault="006E2F26" w:rsidP="00340823">
      <w:pPr>
        <w:pStyle w:val="Textebrut"/>
        <w:tabs>
          <w:tab w:val="left" w:pos="1843"/>
        </w:tabs>
        <w:jc w:val="both"/>
        <w:rPr>
          <w:rFonts w:asciiTheme="minorHAnsi" w:hAnsiTheme="minorHAnsi" w:cstheme="minorHAnsi"/>
          <w:b/>
          <w:sz w:val="24"/>
          <w:szCs w:val="24"/>
          <w:u w:val="single"/>
          <w:lang w:val="fr-FR"/>
        </w:rPr>
      </w:pPr>
    </w:p>
    <w:p w14:paraId="121C1DC3" w14:textId="77777777" w:rsidR="0097420A" w:rsidRPr="006E2F26" w:rsidRDefault="0097420A" w:rsidP="00340823">
      <w:pPr>
        <w:pStyle w:val="Textebrut"/>
        <w:numPr>
          <w:ilvl w:val="0"/>
          <w:numId w:val="8"/>
        </w:numPr>
        <w:tabs>
          <w:tab w:val="left" w:pos="1843"/>
        </w:tabs>
        <w:jc w:val="both"/>
        <w:rPr>
          <w:rFonts w:asciiTheme="minorHAnsi" w:hAnsiTheme="minorHAnsi" w:cstheme="minorHAnsi"/>
          <w:b/>
          <w:sz w:val="24"/>
          <w:szCs w:val="24"/>
          <w:u w:val="single"/>
          <w:lang w:val="fr-FR"/>
        </w:rPr>
      </w:pPr>
      <w:r w:rsidRPr="006E2F26">
        <w:rPr>
          <w:rFonts w:asciiTheme="minorHAnsi" w:hAnsiTheme="minorHAnsi" w:cstheme="minorHAnsi"/>
          <w:b/>
          <w:sz w:val="24"/>
          <w:szCs w:val="24"/>
          <w:u w:val="single"/>
          <w:lang w:val="fr-FR"/>
        </w:rPr>
        <w:t>FAITS</w:t>
      </w:r>
    </w:p>
    <w:p w14:paraId="5BAE77A3" w14:textId="77777777" w:rsidR="00877B44" w:rsidRPr="006E2F26" w:rsidRDefault="00877B44" w:rsidP="00340823">
      <w:pPr>
        <w:pStyle w:val="Textebrut"/>
        <w:tabs>
          <w:tab w:val="left" w:pos="1843"/>
        </w:tabs>
        <w:jc w:val="both"/>
        <w:rPr>
          <w:rFonts w:asciiTheme="minorHAnsi" w:hAnsiTheme="minorHAnsi" w:cstheme="minorHAnsi"/>
          <w:b/>
          <w:sz w:val="24"/>
          <w:szCs w:val="24"/>
          <w:u w:val="single"/>
          <w:lang w:val="fr-FR"/>
        </w:rPr>
      </w:pPr>
    </w:p>
    <w:p w14:paraId="4F309217" w14:textId="543A3CCC" w:rsidR="00877B44" w:rsidRPr="006E2F26" w:rsidRDefault="008C7B4A"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M.</w:t>
      </w:r>
      <w:r w:rsidR="00877B44" w:rsidRPr="006E2F26">
        <w:rPr>
          <w:rFonts w:asciiTheme="minorHAnsi" w:hAnsiTheme="minorHAnsi" w:cstheme="minorHAnsi"/>
          <w:sz w:val="24"/>
          <w:szCs w:val="24"/>
          <w:lang w:val="fr-FR"/>
        </w:rPr>
        <w:t xml:space="preserve"> </w:t>
      </w:r>
      <w:r w:rsidR="00961229">
        <w:rPr>
          <w:rFonts w:asciiTheme="minorHAnsi" w:hAnsiTheme="minorHAnsi" w:cstheme="minorHAnsi"/>
          <w:sz w:val="24"/>
          <w:szCs w:val="24"/>
          <w:lang w:val="fr-FR"/>
        </w:rPr>
        <w:t>M</w:t>
      </w:r>
      <w:r w:rsidR="00877B44" w:rsidRPr="006E2F26">
        <w:rPr>
          <w:rFonts w:asciiTheme="minorHAnsi" w:hAnsiTheme="minorHAnsi" w:cstheme="minorHAnsi"/>
          <w:sz w:val="24"/>
          <w:szCs w:val="24"/>
          <w:lang w:val="fr-FR"/>
        </w:rPr>
        <w:t xml:space="preserve"> et l’A.S.B.L. AILE FRANCOPHONE DE LA FEDERATION ROYALE BELGE DE T</w:t>
      </w:r>
      <w:r w:rsidR="00C43357" w:rsidRPr="006E2F26">
        <w:rPr>
          <w:rFonts w:asciiTheme="minorHAnsi" w:hAnsiTheme="minorHAnsi" w:cstheme="minorHAnsi"/>
          <w:sz w:val="24"/>
          <w:szCs w:val="24"/>
          <w:lang w:val="fr-FR"/>
        </w:rPr>
        <w:t xml:space="preserve">ENNIS DE TABLES ont signé une </w:t>
      </w:r>
      <w:r w:rsidR="00877B44" w:rsidRPr="006E2F26">
        <w:rPr>
          <w:rFonts w:asciiTheme="minorHAnsi" w:hAnsiTheme="minorHAnsi" w:cstheme="minorHAnsi"/>
          <w:sz w:val="24"/>
          <w:szCs w:val="24"/>
          <w:lang w:val="fr-FR"/>
        </w:rPr>
        <w:t>convent</w:t>
      </w:r>
      <w:r w:rsidR="00C43357" w:rsidRPr="006E2F26">
        <w:rPr>
          <w:rFonts w:asciiTheme="minorHAnsi" w:hAnsiTheme="minorHAnsi" w:cstheme="minorHAnsi"/>
          <w:sz w:val="24"/>
          <w:szCs w:val="24"/>
          <w:lang w:val="fr-FR"/>
        </w:rPr>
        <w:t>ion de prestations de services</w:t>
      </w:r>
      <w:r w:rsidR="006E2F26">
        <w:rPr>
          <w:rFonts w:asciiTheme="minorHAnsi" w:hAnsiTheme="minorHAnsi" w:cstheme="minorHAnsi"/>
          <w:sz w:val="24"/>
          <w:szCs w:val="24"/>
          <w:lang w:val="fr-FR"/>
        </w:rPr>
        <w:t xml:space="preserve"> en date du 20 aoû</w:t>
      </w:r>
      <w:r w:rsidR="00877B44" w:rsidRPr="006E2F26">
        <w:rPr>
          <w:rFonts w:asciiTheme="minorHAnsi" w:hAnsiTheme="minorHAnsi" w:cstheme="minorHAnsi"/>
          <w:sz w:val="24"/>
          <w:szCs w:val="24"/>
          <w:lang w:val="fr-FR"/>
        </w:rPr>
        <w:t>t 2011.</w:t>
      </w:r>
    </w:p>
    <w:p w14:paraId="15614916" w14:textId="77777777" w:rsidR="00877B44" w:rsidRPr="006E2F26" w:rsidRDefault="00877B44" w:rsidP="00340823">
      <w:pPr>
        <w:pStyle w:val="Textebrut"/>
        <w:tabs>
          <w:tab w:val="left" w:pos="1843"/>
        </w:tabs>
        <w:jc w:val="both"/>
        <w:rPr>
          <w:rFonts w:asciiTheme="minorHAnsi" w:hAnsiTheme="minorHAnsi" w:cstheme="minorHAnsi"/>
          <w:sz w:val="24"/>
          <w:szCs w:val="24"/>
          <w:lang w:val="fr-FR"/>
        </w:rPr>
      </w:pPr>
    </w:p>
    <w:p w14:paraId="503D8478" w14:textId="530312BD" w:rsidR="00C43357" w:rsidRPr="006E2F26" w:rsidRDefault="008C7B4A"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M.</w:t>
      </w:r>
      <w:r w:rsidR="00874407" w:rsidRPr="006E2F26">
        <w:rPr>
          <w:rFonts w:asciiTheme="minorHAnsi" w:hAnsiTheme="minorHAnsi" w:cstheme="minorHAnsi"/>
          <w:sz w:val="24"/>
          <w:szCs w:val="24"/>
          <w:lang w:val="fr-FR"/>
        </w:rPr>
        <w:t xml:space="preserve"> </w:t>
      </w:r>
      <w:r w:rsidR="00961229">
        <w:rPr>
          <w:rFonts w:asciiTheme="minorHAnsi" w:hAnsiTheme="minorHAnsi" w:cstheme="minorHAnsi"/>
          <w:sz w:val="24"/>
          <w:szCs w:val="24"/>
          <w:lang w:val="fr-FR"/>
        </w:rPr>
        <w:t>M</w:t>
      </w:r>
      <w:r w:rsidR="00877B44" w:rsidRPr="006E2F26">
        <w:rPr>
          <w:rFonts w:asciiTheme="minorHAnsi" w:hAnsiTheme="minorHAnsi" w:cstheme="minorHAnsi"/>
          <w:sz w:val="24"/>
          <w:szCs w:val="24"/>
          <w:lang w:val="fr-FR"/>
        </w:rPr>
        <w:t xml:space="preserve"> avait pour mission d’entraîner et d’encadrer des sportifs pratiquant le tennis de table à dater du 1</w:t>
      </w:r>
      <w:r w:rsidR="00877B44" w:rsidRPr="006E2F26">
        <w:rPr>
          <w:rFonts w:asciiTheme="minorHAnsi" w:hAnsiTheme="minorHAnsi" w:cstheme="minorHAnsi"/>
          <w:sz w:val="24"/>
          <w:szCs w:val="24"/>
          <w:vertAlign w:val="superscript"/>
          <w:lang w:val="fr-FR"/>
        </w:rPr>
        <w:t>er</w:t>
      </w:r>
      <w:r w:rsidR="00877B44" w:rsidRPr="006E2F26">
        <w:rPr>
          <w:rFonts w:asciiTheme="minorHAnsi" w:hAnsiTheme="minorHAnsi" w:cstheme="minorHAnsi"/>
          <w:sz w:val="24"/>
          <w:szCs w:val="24"/>
          <w:lang w:val="fr-FR"/>
        </w:rPr>
        <w:t xml:space="preserve"> septembre 2011.</w:t>
      </w:r>
    </w:p>
    <w:p w14:paraId="630FC144" w14:textId="77777777" w:rsidR="0097797B" w:rsidRPr="006E2F26" w:rsidRDefault="0097797B" w:rsidP="00340823">
      <w:pPr>
        <w:pStyle w:val="Textebrut"/>
        <w:tabs>
          <w:tab w:val="left" w:pos="1843"/>
        </w:tabs>
        <w:jc w:val="both"/>
        <w:rPr>
          <w:rFonts w:asciiTheme="minorHAnsi" w:hAnsiTheme="minorHAnsi" w:cstheme="minorHAnsi"/>
          <w:sz w:val="24"/>
          <w:szCs w:val="24"/>
          <w:lang w:val="fr-FR"/>
        </w:rPr>
      </w:pPr>
    </w:p>
    <w:p w14:paraId="6E762717" w14:textId="74CBE41E" w:rsidR="00877B44" w:rsidRPr="006E2F26" w:rsidRDefault="00C43357"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Le 23 juin 2015, un contrôle a été effectué par le SPF Finance (Cellule de contrôle TVA). </w:t>
      </w:r>
      <w:r w:rsidR="00874407" w:rsidRPr="006E2F26">
        <w:rPr>
          <w:rFonts w:asciiTheme="minorHAnsi" w:hAnsiTheme="minorHAnsi" w:cstheme="minorHAnsi"/>
          <w:sz w:val="24"/>
          <w:szCs w:val="24"/>
          <w:lang w:val="fr-FR"/>
        </w:rPr>
        <w:t>L’A.S.B.L.</w:t>
      </w:r>
      <w:r w:rsidRPr="006E2F26">
        <w:rPr>
          <w:rFonts w:asciiTheme="minorHAnsi" w:hAnsiTheme="minorHAnsi" w:cstheme="minorHAnsi"/>
          <w:sz w:val="24"/>
          <w:szCs w:val="24"/>
          <w:lang w:val="fr-FR"/>
        </w:rPr>
        <w:t xml:space="preserve"> a fait l’objet d’une régularisation car elle a été considérée comme redevable de la TVA </w:t>
      </w:r>
      <w:r w:rsidR="00F02629" w:rsidRPr="006E2F26">
        <w:rPr>
          <w:rFonts w:asciiTheme="minorHAnsi" w:hAnsiTheme="minorHAnsi" w:cstheme="minorHAnsi"/>
          <w:sz w:val="24"/>
          <w:szCs w:val="24"/>
          <w:lang w:val="fr-FR"/>
        </w:rPr>
        <w:t xml:space="preserve">pour les prestations fournies en Belgique par </w:t>
      </w:r>
      <w:r w:rsidR="008C7B4A" w:rsidRPr="006E2F26">
        <w:rPr>
          <w:rFonts w:asciiTheme="minorHAnsi" w:hAnsiTheme="minorHAnsi" w:cstheme="minorHAnsi"/>
          <w:sz w:val="24"/>
          <w:szCs w:val="24"/>
          <w:lang w:val="fr-FR"/>
        </w:rPr>
        <w:t>M.</w:t>
      </w:r>
      <w:r w:rsidR="00874407" w:rsidRPr="006E2F26">
        <w:rPr>
          <w:rFonts w:asciiTheme="minorHAnsi" w:hAnsiTheme="minorHAnsi" w:cstheme="minorHAnsi"/>
          <w:sz w:val="24"/>
          <w:szCs w:val="24"/>
          <w:lang w:val="fr-FR"/>
        </w:rPr>
        <w:t xml:space="preserve"> </w:t>
      </w:r>
      <w:r w:rsidR="00961229">
        <w:rPr>
          <w:rFonts w:asciiTheme="minorHAnsi" w:hAnsiTheme="minorHAnsi" w:cstheme="minorHAnsi"/>
          <w:sz w:val="24"/>
          <w:szCs w:val="24"/>
          <w:lang w:val="fr-FR"/>
        </w:rPr>
        <w:t>M</w:t>
      </w:r>
      <w:r w:rsidR="00F02629" w:rsidRPr="006E2F26">
        <w:rPr>
          <w:rFonts w:asciiTheme="minorHAnsi" w:hAnsiTheme="minorHAnsi" w:cstheme="minorHAnsi"/>
          <w:sz w:val="24"/>
          <w:szCs w:val="24"/>
          <w:lang w:val="fr-FR"/>
        </w:rPr>
        <w:t>, assujetti en France. Le montant a régularisé était de 37.331,70 €.</w:t>
      </w:r>
    </w:p>
    <w:p w14:paraId="45C691F2" w14:textId="77777777" w:rsidR="00F02629" w:rsidRPr="006E2F26" w:rsidRDefault="00F02629" w:rsidP="00340823">
      <w:pPr>
        <w:pStyle w:val="Textebrut"/>
        <w:tabs>
          <w:tab w:val="left" w:pos="1843"/>
        </w:tabs>
        <w:jc w:val="both"/>
        <w:rPr>
          <w:rFonts w:asciiTheme="minorHAnsi" w:hAnsiTheme="minorHAnsi" w:cstheme="minorHAnsi"/>
          <w:sz w:val="24"/>
          <w:szCs w:val="24"/>
          <w:lang w:val="fr-FR"/>
        </w:rPr>
      </w:pPr>
    </w:p>
    <w:p w14:paraId="6DD9BCAA" w14:textId="5DFB4DB3" w:rsidR="00F02629" w:rsidRPr="006E2F26" w:rsidRDefault="00F02629"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Un contrat de travail à durée indéterminée, a ensuite été conclu entre </w:t>
      </w:r>
      <w:r w:rsidR="008C7B4A" w:rsidRPr="006E2F26">
        <w:rPr>
          <w:rFonts w:asciiTheme="minorHAnsi" w:hAnsiTheme="minorHAnsi" w:cstheme="minorHAnsi"/>
          <w:sz w:val="24"/>
          <w:szCs w:val="24"/>
          <w:lang w:val="fr-FR"/>
        </w:rPr>
        <w:t>M.</w:t>
      </w:r>
      <w:r w:rsidR="00874407" w:rsidRPr="006E2F26">
        <w:rPr>
          <w:rFonts w:asciiTheme="minorHAnsi" w:hAnsiTheme="minorHAnsi" w:cstheme="minorHAnsi"/>
          <w:sz w:val="24"/>
          <w:szCs w:val="24"/>
          <w:lang w:val="fr-FR"/>
        </w:rPr>
        <w:t xml:space="preserve"> </w:t>
      </w:r>
      <w:r w:rsidR="00961229">
        <w:rPr>
          <w:rFonts w:asciiTheme="minorHAnsi" w:hAnsiTheme="minorHAnsi" w:cstheme="minorHAnsi"/>
          <w:sz w:val="24"/>
          <w:szCs w:val="24"/>
          <w:lang w:val="fr-FR"/>
        </w:rPr>
        <w:t>M</w:t>
      </w:r>
      <w:r w:rsidRPr="006E2F26">
        <w:rPr>
          <w:rFonts w:asciiTheme="minorHAnsi" w:hAnsiTheme="minorHAnsi" w:cstheme="minorHAnsi"/>
          <w:sz w:val="24"/>
          <w:szCs w:val="24"/>
          <w:lang w:val="fr-FR"/>
        </w:rPr>
        <w:t xml:space="preserve"> et </w:t>
      </w:r>
      <w:r w:rsidR="008C7B4A" w:rsidRPr="006E2F26">
        <w:rPr>
          <w:rFonts w:asciiTheme="minorHAnsi" w:hAnsiTheme="minorHAnsi" w:cstheme="minorHAnsi"/>
          <w:sz w:val="24"/>
          <w:szCs w:val="24"/>
          <w:lang w:val="fr-FR"/>
        </w:rPr>
        <w:t>l</w:t>
      </w:r>
      <w:r w:rsidR="00874407" w:rsidRPr="006E2F26">
        <w:rPr>
          <w:rFonts w:asciiTheme="minorHAnsi" w:hAnsiTheme="minorHAnsi" w:cstheme="minorHAnsi"/>
          <w:sz w:val="24"/>
          <w:szCs w:val="24"/>
          <w:lang w:val="fr-FR"/>
        </w:rPr>
        <w:t>’A.S.B.L.</w:t>
      </w:r>
      <w:r w:rsidRPr="006E2F26">
        <w:rPr>
          <w:rFonts w:asciiTheme="minorHAnsi" w:hAnsiTheme="minorHAnsi" w:cstheme="minorHAnsi"/>
          <w:sz w:val="24"/>
          <w:szCs w:val="24"/>
          <w:lang w:val="fr-FR"/>
        </w:rPr>
        <w:t>, à temps plein et débutant le 1</w:t>
      </w:r>
      <w:r w:rsidRPr="006E2F26">
        <w:rPr>
          <w:rFonts w:asciiTheme="minorHAnsi" w:hAnsiTheme="minorHAnsi" w:cstheme="minorHAnsi"/>
          <w:sz w:val="24"/>
          <w:szCs w:val="24"/>
          <w:vertAlign w:val="superscript"/>
          <w:lang w:val="fr-FR"/>
        </w:rPr>
        <w:t>er</w:t>
      </w:r>
      <w:r w:rsidRPr="006E2F26">
        <w:rPr>
          <w:rFonts w:asciiTheme="minorHAnsi" w:hAnsiTheme="minorHAnsi" w:cstheme="minorHAnsi"/>
          <w:sz w:val="24"/>
          <w:szCs w:val="24"/>
          <w:lang w:val="fr-FR"/>
        </w:rPr>
        <w:t xml:space="preserve"> janvier 2016. </w:t>
      </w:r>
      <w:r w:rsidR="008C7B4A" w:rsidRPr="006E2F26">
        <w:rPr>
          <w:rFonts w:asciiTheme="minorHAnsi" w:hAnsiTheme="minorHAnsi" w:cstheme="minorHAnsi"/>
          <w:sz w:val="24"/>
          <w:szCs w:val="24"/>
          <w:lang w:val="fr-FR"/>
        </w:rPr>
        <w:t>M.</w:t>
      </w:r>
      <w:r w:rsidR="00874407" w:rsidRPr="006E2F26">
        <w:rPr>
          <w:rFonts w:asciiTheme="minorHAnsi" w:hAnsiTheme="minorHAnsi" w:cstheme="minorHAnsi"/>
          <w:sz w:val="24"/>
          <w:szCs w:val="24"/>
          <w:lang w:val="fr-FR"/>
        </w:rPr>
        <w:t xml:space="preserve"> </w:t>
      </w:r>
      <w:r w:rsidR="00961229">
        <w:rPr>
          <w:rFonts w:asciiTheme="minorHAnsi" w:hAnsiTheme="minorHAnsi" w:cstheme="minorHAnsi"/>
          <w:sz w:val="24"/>
          <w:szCs w:val="24"/>
          <w:lang w:val="fr-FR"/>
        </w:rPr>
        <w:t>M</w:t>
      </w:r>
      <w:r w:rsidRPr="006E2F26">
        <w:rPr>
          <w:rFonts w:asciiTheme="minorHAnsi" w:hAnsiTheme="minorHAnsi" w:cstheme="minorHAnsi"/>
          <w:sz w:val="24"/>
          <w:szCs w:val="24"/>
          <w:lang w:val="fr-FR"/>
        </w:rPr>
        <w:t xml:space="preserve"> étant engagé en tant qu’ « </w:t>
      </w:r>
      <w:r w:rsidRPr="006E2F26">
        <w:rPr>
          <w:rFonts w:asciiTheme="minorHAnsi" w:hAnsiTheme="minorHAnsi" w:cstheme="minorHAnsi"/>
          <w:i/>
          <w:sz w:val="24"/>
          <w:szCs w:val="24"/>
          <w:lang w:val="fr-FR"/>
        </w:rPr>
        <w:t>entraîneur haut niveau </w:t>
      </w:r>
      <w:r w:rsidRPr="006E2F26">
        <w:rPr>
          <w:rFonts w:asciiTheme="minorHAnsi" w:hAnsiTheme="minorHAnsi" w:cstheme="minorHAnsi"/>
          <w:sz w:val="24"/>
          <w:szCs w:val="24"/>
          <w:lang w:val="fr-FR"/>
        </w:rPr>
        <w:t>».</w:t>
      </w:r>
    </w:p>
    <w:p w14:paraId="5527B819" w14:textId="77777777" w:rsidR="00F02629" w:rsidRPr="006E2F26" w:rsidRDefault="00F02629" w:rsidP="00340823">
      <w:pPr>
        <w:pStyle w:val="Textebrut"/>
        <w:tabs>
          <w:tab w:val="left" w:pos="1843"/>
        </w:tabs>
        <w:jc w:val="both"/>
        <w:rPr>
          <w:rFonts w:asciiTheme="minorHAnsi" w:hAnsiTheme="minorHAnsi" w:cstheme="minorHAnsi"/>
          <w:sz w:val="24"/>
          <w:szCs w:val="24"/>
          <w:lang w:val="fr-FR"/>
        </w:rPr>
      </w:pPr>
    </w:p>
    <w:p w14:paraId="6FCE781D" w14:textId="77777777" w:rsidR="00F02629" w:rsidRPr="006E2F26" w:rsidRDefault="00F02629"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En date du 4 janvier, les parties ont signé un avenant au contrat prévoyant le remboursement d’une somme de 31.707,90 €</w:t>
      </w:r>
      <w:r w:rsidR="003C1E4F" w:rsidRPr="006E2F26">
        <w:rPr>
          <w:rFonts w:asciiTheme="minorHAnsi" w:hAnsiTheme="minorHAnsi" w:cstheme="minorHAnsi"/>
          <w:sz w:val="24"/>
          <w:szCs w:val="24"/>
          <w:lang w:val="fr-FR"/>
        </w:rPr>
        <w:t xml:space="preserve"> « </w:t>
      </w:r>
      <w:r w:rsidR="003C1E4F" w:rsidRPr="006E2F26">
        <w:rPr>
          <w:rFonts w:asciiTheme="minorHAnsi" w:hAnsiTheme="minorHAnsi" w:cstheme="minorHAnsi"/>
          <w:i/>
          <w:sz w:val="24"/>
          <w:szCs w:val="24"/>
          <w:lang w:val="fr-FR"/>
        </w:rPr>
        <w:t>consécutif à la requalification des montants imposés par la TVA durant la période d’activité de l’ « employé » comme indépendant au sein de l’association</w:t>
      </w:r>
      <w:r w:rsidR="003C1E4F" w:rsidRPr="006E2F26">
        <w:rPr>
          <w:rFonts w:asciiTheme="minorHAnsi" w:hAnsiTheme="minorHAnsi" w:cstheme="minorHAnsi"/>
          <w:sz w:val="24"/>
          <w:szCs w:val="24"/>
          <w:lang w:val="fr-FR"/>
        </w:rPr>
        <w:t> ». Trois méthodes de remboursement étai</w:t>
      </w:r>
      <w:r w:rsidR="003664A2" w:rsidRPr="006E2F26">
        <w:rPr>
          <w:rFonts w:asciiTheme="minorHAnsi" w:hAnsiTheme="minorHAnsi" w:cstheme="minorHAnsi"/>
          <w:sz w:val="24"/>
          <w:szCs w:val="24"/>
          <w:lang w:val="fr-FR"/>
        </w:rPr>
        <w:t>en</w:t>
      </w:r>
      <w:r w:rsidR="003C1E4F" w:rsidRPr="006E2F26">
        <w:rPr>
          <w:rFonts w:asciiTheme="minorHAnsi" w:hAnsiTheme="minorHAnsi" w:cstheme="minorHAnsi"/>
          <w:sz w:val="24"/>
          <w:szCs w:val="24"/>
          <w:lang w:val="fr-FR"/>
        </w:rPr>
        <w:t>t prévue</w:t>
      </w:r>
      <w:r w:rsidR="00A118DC" w:rsidRPr="006E2F26">
        <w:rPr>
          <w:rFonts w:asciiTheme="minorHAnsi" w:hAnsiTheme="minorHAnsi" w:cstheme="minorHAnsi"/>
          <w:sz w:val="24"/>
          <w:szCs w:val="24"/>
          <w:lang w:val="fr-FR"/>
        </w:rPr>
        <w:t>s</w:t>
      </w:r>
      <w:r w:rsidR="003C1E4F" w:rsidRPr="006E2F26">
        <w:rPr>
          <w:rFonts w:asciiTheme="minorHAnsi" w:hAnsiTheme="minorHAnsi" w:cstheme="minorHAnsi"/>
          <w:sz w:val="24"/>
          <w:szCs w:val="24"/>
          <w:lang w:val="fr-FR"/>
        </w:rPr>
        <w:t>.</w:t>
      </w:r>
    </w:p>
    <w:p w14:paraId="5EE2D2FD" w14:textId="77777777" w:rsidR="003C1E4F" w:rsidRPr="006E2F26" w:rsidRDefault="003C1E4F" w:rsidP="00340823">
      <w:pPr>
        <w:pStyle w:val="Textebrut"/>
        <w:tabs>
          <w:tab w:val="left" w:pos="1843"/>
        </w:tabs>
        <w:jc w:val="both"/>
        <w:rPr>
          <w:rFonts w:asciiTheme="minorHAnsi" w:hAnsiTheme="minorHAnsi" w:cstheme="minorHAnsi"/>
          <w:sz w:val="24"/>
          <w:szCs w:val="24"/>
          <w:lang w:val="fr-FR"/>
        </w:rPr>
      </w:pPr>
    </w:p>
    <w:p w14:paraId="3EC527D3" w14:textId="20FA6AD0" w:rsidR="003C1E4F" w:rsidRPr="006E2F26" w:rsidRDefault="003C1E4F"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Le 12 août 2020, </w:t>
      </w:r>
      <w:r w:rsidR="00874407" w:rsidRPr="006E2F26">
        <w:rPr>
          <w:rFonts w:asciiTheme="minorHAnsi" w:hAnsiTheme="minorHAnsi" w:cstheme="minorHAnsi"/>
          <w:sz w:val="24"/>
          <w:szCs w:val="24"/>
          <w:lang w:val="fr-FR"/>
        </w:rPr>
        <w:t>L’A.S.B.L.</w:t>
      </w:r>
      <w:r w:rsidRPr="006E2F26">
        <w:rPr>
          <w:rFonts w:asciiTheme="minorHAnsi" w:hAnsiTheme="minorHAnsi" w:cstheme="minorHAnsi"/>
          <w:sz w:val="24"/>
          <w:szCs w:val="24"/>
          <w:lang w:val="fr-FR"/>
        </w:rPr>
        <w:t xml:space="preserve"> a mis fin au contrat de travail de </w:t>
      </w:r>
      <w:r w:rsidR="008C7B4A" w:rsidRPr="006E2F26">
        <w:rPr>
          <w:rFonts w:asciiTheme="minorHAnsi" w:hAnsiTheme="minorHAnsi" w:cstheme="minorHAnsi"/>
          <w:sz w:val="24"/>
          <w:szCs w:val="24"/>
          <w:lang w:val="fr-FR"/>
        </w:rPr>
        <w:t>M.</w:t>
      </w:r>
      <w:r w:rsidR="00874407" w:rsidRPr="006E2F26">
        <w:rPr>
          <w:rFonts w:asciiTheme="minorHAnsi" w:hAnsiTheme="minorHAnsi" w:cstheme="minorHAnsi"/>
          <w:sz w:val="24"/>
          <w:szCs w:val="24"/>
          <w:lang w:val="fr-FR"/>
        </w:rPr>
        <w:t xml:space="preserve"> </w:t>
      </w:r>
      <w:r w:rsidR="00961229">
        <w:rPr>
          <w:rFonts w:asciiTheme="minorHAnsi" w:hAnsiTheme="minorHAnsi" w:cstheme="minorHAnsi"/>
          <w:sz w:val="24"/>
          <w:szCs w:val="24"/>
          <w:lang w:val="fr-FR"/>
        </w:rPr>
        <w:t>M</w:t>
      </w:r>
      <w:r w:rsidRPr="006E2F26">
        <w:rPr>
          <w:rFonts w:asciiTheme="minorHAnsi" w:hAnsiTheme="minorHAnsi" w:cstheme="minorHAnsi"/>
          <w:sz w:val="24"/>
          <w:szCs w:val="24"/>
          <w:lang w:val="fr-FR"/>
        </w:rPr>
        <w:t>, avec effet immédiat, moyennant le paiement d’une indemnité compensatoire de préavis de 15 semaines.</w:t>
      </w:r>
    </w:p>
    <w:p w14:paraId="2C95A36B" w14:textId="77777777" w:rsidR="003C1E4F" w:rsidRPr="006E2F26" w:rsidRDefault="003C1E4F" w:rsidP="00340823">
      <w:pPr>
        <w:pStyle w:val="Textebrut"/>
        <w:tabs>
          <w:tab w:val="left" w:pos="1843"/>
        </w:tabs>
        <w:jc w:val="both"/>
        <w:rPr>
          <w:rFonts w:asciiTheme="minorHAnsi" w:hAnsiTheme="minorHAnsi" w:cstheme="minorHAnsi"/>
          <w:sz w:val="24"/>
          <w:szCs w:val="24"/>
          <w:lang w:val="fr-FR"/>
        </w:rPr>
      </w:pPr>
    </w:p>
    <w:p w14:paraId="03AB0A94" w14:textId="5D137376" w:rsidR="003C1E4F" w:rsidRPr="006E2F26" w:rsidRDefault="003C1E4F"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Par courrier recommandé du 22 septembre 2020, </w:t>
      </w:r>
      <w:r w:rsidR="008C7B4A" w:rsidRPr="006E2F26">
        <w:rPr>
          <w:rFonts w:asciiTheme="minorHAnsi" w:hAnsiTheme="minorHAnsi" w:cstheme="minorHAnsi"/>
          <w:sz w:val="24"/>
          <w:szCs w:val="24"/>
          <w:lang w:val="fr-FR"/>
        </w:rPr>
        <w:t>M.</w:t>
      </w:r>
      <w:r w:rsidRPr="006E2F26">
        <w:rPr>
          <w:rFonts w:asciiTheme="minorHAnsi" w:hAnsiTheme="minorHAnsi" w:cstheme="minorHAnsi"/>
          <w:sz w:val="24"/>
          <w:szCs w:val="24"/>
          <w:lang w:val="fr-FR"/>
        </w:rPr>
        <w:t xml:space="preserve"> </w:t>
      </w:r>
      <w:r w:rsidR="00961229">
        <w:rPr>
          <w:rFonts w:asciiTheme="minorHAnsi" w:hAnsiTheme="minorHAnsi" w:cstheme="minorHAnsi"/>
          <w:sz w:val="24"/>
          <w:szCs w:val="24"/>
          <w:lang w:val="fr-FR"/>
        </w:rPr>
        <w:t>M</w:t>
      </w:r>
      <w:r w:rsidRPr="006E2F26">
        <w:rPr>
          <w:rFonts w:asciiTheme="minorHAnsi" w:hAnsiTheme="minorHAnsi" w:cstheme="minorHAnsi"/>
          <w:sz w:val="24"/>
          <w:szCs w:val="24"/>
          <w:lang w:val="fr-FR"/>
        </w:rPr>
        <w:t xml:space="preserve"> a mis en demeure l'A.S.B.L. de lui verser une indemnité complémentaire de préavis, de rembourser les retenues effectuées sur sa rémunération et de lui fournir les motifs du licenciement.</w:t>
      </w:r>
      <w:r w:rsidR="003C6CAE" w:rsidRPr="006E2F26">
        <w:rPr>
          <w:rFonts w:asciiTheme="minorHAnsi" w:hAnsiTheme="minorHAnsi" w:cstheme="minorHAnsi"/>
          <w:sz w:val="24"/>
          <w:szCs w:val="24"/>
          <w:lang w:val="fr-FR"/>
        </w:rPr>
        <w:t xml:space="preserve"> </w:t>
      </w:r>
      <w:r w:rsidR="00874407" w:rsidRPr="006E2F26">
        <w:rPr>
          <w:rFonts w:asciiTheme="minorHAnsi" w:hAnsiTheme="minorHAnsi" w:cstheme="minorHAnsi"/>
          <w:sz w:val="24"/>
          <w:szCs w:val="24"/>
          <w:lang w:val="fr-FR"/>
        </w:rPr>
        <w:t>L’A.S.B.L.</w:t>
      </w:r>
      <w:r w:rsidRPr="006E2F26">
        <w:rPr>
          <w:rFonts w:asciiTheme="minorHAnsi" w:hAnsiTheme="minorHAnsi" w:cstheme="minorHAnsi"/>
          <w:sz w:val="24"/>
          <w:szCs w:val="24"/>
          <w:lang w:val="fr-FR"/>
        </w:rPr>
        <w:t xml:space="preserve"> n’a pas répondu à ce courrier.</w:t>
      </w:r>
    </w:p>
    <w:p w14:paraId="53C186E9" w14:textId="77777777" w:rsidR="003C1E4F" w:rsidRPr="006E2F26" w:rsidRDefault="003C1E4F" w:rsidP="00340823">
      <w:pPr>
        <w:pStyle w:val="Textebrut"/>
        <w:tabs>
          <w:tab w:val="left" w:pos="1843"/>
        </w:tabs>
        <w:jc w:val="both"/>
        <w:rPr>
          <w:rFonts w:asciiTheme="minorHAnsi" w:hAnsiTheme="minorHAnsi" w:cstheme="minorHAnsi"/>
          <w:sz w:val="24"/>
          <w:szCs w:val="24"/>
          <w:lang w:val="fr-FR"/>
        </w:rPr>
      </w:pPr>
    </w:p>
    <w:p w14:paraId="42618CDC" w14:textId="3B3F7D0E" w:rsidR="00877B44" w:rsidRPr="006E2F26" w:rsidRDefault="003C1E4F"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Le 24 décembre 2020, </w:t>
      </w:r>
      <w:r w:rsidR="008C7B4A" w:rsidRPr="006E2F26">
        <w:rPr>
          <w:rFonts w:asciiTheme="minorHAnsi" w:hAnsiTheme="minorHAnsi" w:cstheme="minorHAnsi"/>
          <w:sz w:val="24"/>
          <w:szCs w:val="24"/>
          <w:lang w:val="fr-FR"/>
        </w:rPr>
        <w:t>M.</w:t>
      </w:r>
      <w:r w:rsidRPr="006E2F26">
        <w:rPr>
          <w:rFonts w:asciiTheme="minorHAnsi" w:hAnsiTheme="minorHAnsi" w:cstheme="minorHAnsi"/>
          <w:sz w:val="24"/>
          <w:szCs w:val="24"/>
          <w:lang w:val="fr-FR"/>
        </w:rPr>
        <w:t xml:space="preserve"> </w:t>
      </w:r>
      <w:r w:rsidR="00961229">
        <w:rPr>
          <w:rFonts w:asciiTheme="minorHAnsi" w:hAnsiTheme="minorHAnsi" w:cstheme="minorHAnsi"/>
          <w:sz w:val="24"/>
          <w:szCs w:val="24"/>
          <w:lang w:val="fr-FR"/>
        </w:rPr>
        <w:t>M</w:t>
      </w:r>
      <w:r w:rsidR="003C6CAE" w:rsidRPr="006E2F26">
        <w:rPr>
          <w:rFonts w:asciiTheme="minorHAnsi" w:hAnsiTheme="minorHAnsi" w:cstheme="minorHAnsi"/>
          <w:sz w:val="24"/>
          <w:szCs w:val="24"/>
          <w:lang w:val="fr-FR"/>
        </w:rPr>
        <w:t xml:space="preserve"> a</w:t>
      </w:r>
      <w:r w:rsidRPr="006E2F26">
        <w:rPr>
          <w:rFonts w:asciiTheme="minorHAnsi" w:hAnsiTheme="minorHAnsi" w:cstheme="minorHAnsi"/>
          <w:sz w:val="24"/>
          <w:szCs w:val="24"/>
          <w:lang w:val="fr-FR"/>
        </w:rPr>
        <w:t xml:space="preserve"> </w:t>
      </w:r>
      <w:r w:rsidR="003C6CAE" w:rsidRPr="006E2F26">
        <w:rPr>
          <w:rFonts w:asciiTheme="minorHAnsi" w:hAnsiTheme="minorHAnsi" w:cstheme="minorHAnsi"/>
          <w:sz w:val="24"/>
          <w:szCs w:val="24"/>
          <w:lang w:val="fr-FR"/>
        </w:rPr>
        <w:t xml:space="preserve">introduit </w:t>
      </w:r>
      <w:r w:rsidRPr="006E2F26">
        <w:rPr>
          <w:rFonts w:asciiTheme="minorHAnsi" w:hAnsiTheme="minorHAnsi" w:cstheme="minorHAnsi"/>
          <w:sz w:val="24"/>
          <w:szCs w:val="24"/>
          <w:lang w:val="fr-FR"/>
        </w:rPr>
        <w:t>la présente procédure.</w:t>
      </w:r>
    </w:p>
    <w:p w14:paraId="3365A332" w14:textId="77777777" w:rsidR="003C1E4F" w:rsidRDefault="003C1E4F" w:rsidP="00340823">
      <w:pPr>
        <w:pStyle w:val="Textebrut"/>
        <w:tabs>
          <w:tab w:val="left" w:pos="1843"/>
        </w:tabs>
        <w:jc w:val="both"/>
        <w:rPr>
          <w:rFonts w:asciiTheme="minorHAnsi" w:hAnsiTheme="minorHAnsi" w:cstheme="minorHAnsi"/>
          <w:b/>
          <w:sz w:val="24"/>
          <w:szCs w:val="24"/>
          <w:u w:val="single"/>
          <w:lang w:val="fr-FR"/>
        </w:rPr>
      </w:pPr>
    </w:p>
    <w:p w14:paraId="5D3295BF" w14:textId="77777777" w:rsidR="006E2F26" w:rsidRPr="006E2F26" w:rsidRDefault="006E2F26" w:rsidP="00340823">
      <w:pPr>
        <w:pStyle w:val="Textebrut"/>
        <w:tabs>
          <w:tab w:val="left" w:pos="1843"/>
        </w:tabs>
        <w:jc w:val="both"/>
        <w:rPr>
          <w:rFonts w:asciiTheme="minorHAnsi" w:hAnsiTheme="minorHAnsi" w:cstheme="minorHAnsi"/>
          <w:b/>
          <w:sz w:val="24"/>
          <w:szCs w:val="24"/>
          <w:u w:val="single"/>
          <w:lang w:val="fr-FR"/>
        </w:rPr>
      </w:pPr>
    </w:p>
    <w:p w14:paraId="78A79F65" w14:textId="77777777" w:rsidR="0097420A" w:rsidRPr="006E2F26" w:rsidRDefault="0097420A" w:rsidP="00340823">
      <w:pPr>
        <w:pStyle w:val="Textebrut"/>
        <w:numPr>
          <w:ilvl w:val="0"/>
          <w:numId w:val="8"/>
        </w:numPr>
        <w:tabs>
          <w:tab w:val="left" w:pos="1843"/>
        </w:tabs>
        <w:jc w:val="both"/>
        <w:rPr>
          <w:rFonts w:asciiTheme="minorHAnsi" w:hAnsiTheme="minorHAnsi" w:cstheme="minorHAnsi"/>
          <w:b/>
          <w:sz w:val="24"/>
          <w:szCs w:val="24"/>
          <w:u w:val="single"/>
          <w:lang w:val="fr-FR"/>
        </w:rPr>
      </w:pPr>
      <w:r w:rsidRPr="006E2F26">
        <w:rPr>
          <w:rFonts w:asciiTheme="minorHAnsi" w:hAnsiTheme="minorHAnsi" w:cstheme="minorHAnsi"/>
          <w:b/>
          <w:sz w:val="24"/>
          <w:szCs w:val="24"/>
          <w:u w:val="single"/>
          <w:lang w:val="fr-FR"/>
        </w:rPr>
        <w:t>POSITIONS DES PARTIES</w:t>
      </w:r>
    </w:p>
    <w:p w14:paraId="519ACBD1" w14:textId="77777777" w:rsidR="004F4A2C" w:rsidRPr="006E2F26" w:rsidRDefault="004F4A2C" w:rsidP="00340823">
      <w:pPr>
        <w:pStyle w:val="Textebrut"/>
        <w:tabs>
          <w:tab w:val="left" w:pos="1843"/>
        </w:tabs>
        <w:jc w:val="both"/>
        <w:rPr>
          <w:rFonts w:asciiTheme="minorHAnsi" w:hAnsiTheme="minorHAnsi" w:cstheme="minorHAnsi"/>
          <w:b/>
          <w:sz w:val="24"/>
          <w:szCs w:val="24"/>
          <w:u w:val="single"/>
          <w:lang w:val="fr-FR"/>
        </w:rPr>
      </w:pPr>
    </w:p>
    <w:p w14:paraId="3A8A00F2" w14:textId="4DE60DB1" w:rsidR="004F4A2C" w:rsidRPr="006E2F26" w:rsidRDefault="008C7B4A"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b/>
          <w:sz w:val="24"/>
          <w:szCs w:val="24"/>
          <w:lang w:val="fr-FR"/>
        </w:rPr>
        <w:t>M.</w:t>
      </w:r>
      <w:r w:rsidR="00874407" w:rsidRPr="006E2F26">
        <w:rPr>
          <w:rFonts w:asciiTheme="minorHAnsi" w:hAnsiTheme="minorHAnsi" w:cstheme="minorHAnsi"/>
          <w:b/>
          <w:sz w:val="24"/>
          <w:szCs w:val="24"/>
          <w:lang w:val="fr-FR"/>
        </w:rPr>
        <w:t xml:space="preserve"> </w:t>
      </w:r>
      <w:proofErr w:type="spellStart"/>
      <w:r w:rsidR="00961229">
        <w:rPr>
          <w:rFonts w:asciiTheme="minorHAnsi" w:hAnsiTheme="minorHAnsi" w:cstheme="minorHAnsi"/>
          <w:b/>
          <w:sz w:val="24"/>
          <w:szCs w:val="24"/>
          <w:lang w:val="fr-FR"/>
        </w:rPr>
        <w:t>M</w:t>
      </w:r>
      <w:proofErr w:type="spellEnd"/>
      <w:r w:rsidR="004F4A2C" w:rsidRPr="006E2F26">
        <w:rPr>
          <w:rFonts w:asciiTheme="minorHAnsi" w:hAnsiTheme="minorHAnsi" w:cstheme="minorHAnsi"/>
          <w:sz w:val="24"/>
          <w:szCs w:val="24"/>
          <w:lang w:val="fr-FR"/>
        </w:rPr>
        <w:t xml:space="preserve"> demande au Tribunal de </w:t>
      </w:r>
      <w:r w:rsidR="00B6279E" w:rsidRPr="006E2F26">
        <w:rPr>
          <w:rFonts w:asciiTheme="minorHAnsi" w:hAnsiTheme="minorHAnsi" w:cstheme="minorHAnsi"/>
          <w:sz w:val="24"/>
          <w:szCs w:val="24"/>
          <w:lang w:val="fr-FR"/>
        </w:rPr>
        <w:t>condamner l'A.S.B.L. AILE FRANCOPHONE DE LA FEDERATION ROYALE BELGE DE TENNIS DE TABLE</w:t>
      </w:r>
      <w:r w:rsidR="006A3223" w:rsidRPr="006E2F26">
        <w:rPr>
          <w:rFonts w:asciiTheme="minorHAnsi" w:hAnsiTheme="minorHAnsi" w:cstheme="minorHAnsi"/>
          <w:sz w:val="24"/>
          <w:szCs w:val="24"/>
          <w:lang w:val="fr-FR"/>
        </w:rPr>
        <w:t xml:space="preserve"> </w:t>
      </w:r>
      <w:r w:rsidR="00B6279E" w:rsidRPr="006E2F26">
        <w:rPr>
          <w:rFonts w:asciiTheme="minorHAnsi" w:hAnsiTheme="minorHAnsi" w:cstheme="minorHAnsi"/>
          <w:sz w:val="24"/>
          <w:szCs w:val="24"/>
          <w:lang w:val="fr-FR"/>
        </w:rPr>
        <w:t>:</w:t>
      </w:r>
    </w:p>
    <w:p w14:paraId="5B530C98" w14:textId="77777777" w:rsidR="0071069B" w:rsidRPr="006E2F26" w:rsidRDefault="0071069B" w:rsidP="00340823">
      <w:pPr>
        <w:pStyle w:val="Textebrut"/>
        <w:tabs>
          <w:tab w:val="left" w:pos="1843"/>
        </w:tabs>
        <w:jc w:val="both"/>
        <w:rPr>
          <w:rFonts w:asciiTheme="minorHAnsi" w:hAnsiTheme="minorHAnsi" w:cstheme="minorHAnsi"/>
          <w:sz w:val="24"/>
          <w:szCs w:val="24"/>
          <w:lang w:val="fr-FR"/>
        </w:rPr>
      </w:pPr>
    </w:p>
    <w:p w14:paraId="1C170467" w14:textId="77777777" w:rsidR="004F4A2C" w:rsidRPr="006E2F26" w:rsidRDefault="00B6279E"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 </w:t>
      </w:r>
      <w:r w:rsidR="006E2F26">
        <w:rPr>
          <w:rFonts w:asciiTheme="minorHAnsi" w:hAnsiTheme="minorHAnsi" w:cstheme="minorHAnsi"/>
          <w:sz w:val="24"/>
          <w:szCs w:val="24"/>
          <w:lang w:val="fr-FR"/>
        </w:rPr>
        <w:t xml:space="preserve"> </w:t>
      </w:r>
      <w:r w:rsidR="006A3223" w:rsidRPr="006E2F26">
        <w:rPr>
          <w:rFonts w:asciiTheme="minorHAnsi" w:hAnsiTheme="minorHAnsi" w:cstheme="minorHAnsi"/>
          <w:sz w:val="24"/>
          <w:szCs w:val="24"/>
          <w:lang w:val="fr-FR"/>
        </w:rPr>
        <w:t xml:space="preserve">au paiement </w:t>
      </w:r>
      <w:r w:rsidRPr="006E2F26">
        <w:rPr>
          <w:rFonts w:asciiTheme="minorHAnsi" w:hAnsiTheme="minorHAnsi" w:cstheme="minorHAnsi"/>
          <w:sz w:val="24"/>
          <w:szCs w:val="24"/>
          <w:lang w:val="fr-FR"/>
        </w:rPr>
        <w:t>d’</w:t>
      </w:r>
      <w:r w:rsidR="004F4A2C" w:rsidRPr="006E2F26">
        <w:rPr>
          <w:rFonts w:asciiTheme="minorHAnsi" w:hAnsiTheme="minorHAnsi" w:cstheme="minorHAnsi"/>
          <w:sz w:val="24"/>
          <w:szCs w:val="24"/>
          <w:lang w:val="fr-FR"/>
        </w:rPr>
        <w:t xml:space="preserve">une indemnité de rupture fixée : </w:t>
      </w:r>
    </w:p>
    <w:p w14:paraId="3A10AD73" w14:textId="77777777" w:rsidR="00A118DC" w:rsidRPr="006E2F26" w:rsidRDefault="00A118DC" w:rsidP="00340823">
      <w:pPr>
        <w:pStyle w:val="Textebrut"/>
        <w:tabs>
          <w:tab w:val="left" w:pos="1843"/>
        </w:tabs>
        <w:jc w:val="both"/>
        <w:rPr>
          <w:rFonts w:asciiTheme="minorHAnsi" w:hAnsiTheme="minorHAnsi" w:cstheme="minorHAnsi"/>
          <w:sz w:val="24"/>
          <w:szCs w:val="24"/>
          <w:lang w:val="fr-FR"/>
        </w:rPr>
      </w:pPr>
    </w:p>
    <w:p w14:paraId="2CDAD9F0" w14:textId="77777777" w:rsidR="00B6279E" w:rsidRPr="006E2F26" w:rsidRDefault="00B6279E" w:rsidP="00340823">
      <w:pPr>
        <w:pStyle w:val="Textebrut"/>
        <w:numPr>
          <w:ilvl w:val="0"/>
          <w:numId w:val="9"/>
        </w:numPr>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à</w:t>
      </w:r>
      <w:r w:rsidR="00EB0960" w:rsidRPr="006E2F26">
        <w:rPr>
          <w:rFonts w:asciiTheme="minorHAnsi" w:hAnsiTheme="minorHAnsi" w:cstheme="minorHAnsi"/>
          <w:sz w:val="24"/>
          <w:szCs w:val="24"/>
          <w:lang w:val="fr-FR"/>
        </w:rPr>
        <w:t xml:space="preserve"> titre principal, à</w:t>
      </w:r>
      <w:r w:rsidR="004F4A2C" w:rsidRPr="006E2F26">
        <w:rPr>
          <w:rFonts w:asciiTheme="minorHAnsi" w:hAnsiTheme="minorHAnsi" w:cstheme="minorHAnsi"/>
          <w:sz w:val="24"/>
          <w:szCs w:val="24"/>
          <w:lang w:val="fr-FR"/>
        </w:rPr>
        <w:t xml:space="preserve"> 12 mois, en application de la loi du 24 février 1978 relative au contrat de travail du sportif rémunéré, dont il convient de déduire les 15 semaines déjà versée</w:t>
      </w:r>
      <w:r w:rsidR="006E2F26">
        <w:rPr>
          <w:rFonts w:asciiTheme="minorHAnsi" w:hAnsiTheme="minorHAnsi" w:cstheme="minorHAnsi"/>
          <w:sz w:val="24"/>
          <w:szCs w:val="24"/>
          <w:lang w:val="fr-FR"/>
        </w:rPr>
        <w:t>s, soit l</w:t>
      </w:r>
      <w:r w:rsidR="00EB0960" w:rsidRPr="006E2F26">
        <w:rPr>
          <w:rFonts w:asciiTheme="minorHAnsi" w:hAnsiTheme="minorHAnsi" w:cstheme="minorHAnsi"/>
          <w:sz w:val="24"/>
          <w:szCs w:val="24"/>
          <w:lang w:val="fr-FR"/>
        </w:rPr>
        <w:t>a somme correspondant à</w:t>
      </w:r>
      <w:r w:rsidR="004F4A2C" w:rsidRPr="006E2F26">
        <w:rPr>
          <w:rFonts w:asciiTheme="minorHAnsi" w:hAnsiTheme="minorHAnsi" w:cstheme="minorHAnsi"/>
          <w:sz w:val="24"/>
          <w:szCs w:val="24"/>
          <w:lang w:val="fr-FR"/>
        </w:rPr>
        <w:t xml:space="preserve"> 8 mois et 1 semaine et f</w:t>
      </w:r>
      <w:r w:rsidR="00EB0960" w:rsidRPr="006E2F26">
        <w:rPr>
          <w:rFonts w:asciiTheme="minorHAnsi" w:hAnsiTheme="minorHAnsi" w:cstheme="minorHAnsi"/>
          <w:sz w:val="24"/>
          <w:szCs w:val="24"/>
          <w:lang w:val="fr-FR"/>
        </w:rPr>
        <w:t>ixée de manière provisionnelle à</w:t>
      </w:r>
      <w:r w:rsidR="004F4A2C" w:rsidRPr="006E2F26">
        <w:rPr>
          <w:rFonts w:asciiTheme="minorHAnsi" w:hAnsiTheme="minorHAnsi" w:cstheme="minorHAnsi"/>
          <w:sz w:val="24"/>
          <w:szCs w:val="24"/>
          <w:lang w:val="fr-FR"/>
        </w:rPr>
        <w:t xml:space="preserve"> 41.762,65 E</w:t>
      </w:r>
      <w:r w:rsidR="00EB0960" w:rsidRPr="006E2F26">
        <w:rPr>
          <w:rFonts w:asciiTheme="minorHAnsi" w:hAnsiTheme="minorHAnsi" w:cstheme="minorHAnsi"/>
          <w:sz w:val="24"/>
          <w:szCs w:val="24"/>
          <w:lang w:val="fr-FR"/>
        </w:rPr>
        <w:t>uros</w:t>
      </w:r>
      <w:r w:rsidR="004F4A2C" w:rsidRPr="006E2F26">
        <w:rPr>
          <w:rFonts w:asciiTheme="minorHAnsi" w:hAnsiTheme="minorHAnsi" w:cstheme="minorHAnsi"/>
          <w:sz w:val="24"/>
          <w:szCs w:val="24"/>
          <w:lang w:val="fr-FR"/>
        </w:rPr>
        <w:t xml:space="preserve"> bruts ; </w:t>
      </w:r>
    </w:p>
    <w:p w14:paraId="62E798C3" w14:textId="77777777" w:rsidR="004F4A2C" w:rsidRPr="006E2F26" w:rsidRDefault="00B6279E" w:rsidP="00340823">
      <w:pPr>
        <w:pStyle w:val="Textebrut"/>
        <w:numPr>
          <w:ilvl w:val="0"/>
          <w:numId w:val="9"/>
        </w:numPr>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à</w:t>
      </w:r>
      <w:r w:rsidR="00EB0960" w:rsidRPr="006E2F26">
        <w:rPr>
          <w:rFonts w:asciiTheme="minorHAnsi" w:hAnsiTheme="minorHAnsi" w:cstheme="minorHAnsi"/>
          <w:sz w:val="24"/>
          <w:szCs w:val="24"/>
          <w:lang w:val="fr-FR"/>
        </w:rPr>
        <w:t xml:space="preserve"> titre subsidiaire, à</w:t>
      </w:r>
      <w:r w:rsidR="004F4A2C" w:rsidRPr="006E2F26">
        <w:rPr>
          <w:rFonts w:asciiTheme="minorHAnsi" w:hAnsiTheme="minorHAnsi" w:cstheme="minorHAnsi"/>
          <w:sz w:val="24"/>
          <w:szCs w:val="24"/>
          <w:lang w:val="fr-FR"/>
        </w:rPr>
        <w:t xml:space="preserve"> 3 mois et 6 semaines, soit la somme provisionnelle de 21.787,18€ bruts ; </w:t>
      </w:r>
    </w:p>
    <w:p w14:paraId="69DC631A" w14:textId="77777777" w:rsidR="0071069B" w:rsidRPr="006E2F26" w:rsidRDefault="0071069B" w:rsidP="00340823">
      <w:pPr>
        <w:pStyle w:val="Textebrut"/>
        <w:tabs>
          <w:tab w:val="left" w:pos="1843"/>
        </w:tabs>
        <w:ind w:left="773"/>
        <w:jc w:val="both"/>
        <w:rPr>
          <w:rFonts w:asciiTheme="minorHAnsi" w:hAnsiTheme="minorHAnsi" w:cstheme="minorHAnsi"/>
          <w:sz w:val="24"/>
          <w:szCs w:val="24"/>
          <w:lang w:val="fr-FR"/>
        </w:rPr>
      </w:pPr>
    </w:p>
    <w:p w14:paraId="46D2DCB9" w14:textId="77777777" w:rsidR="004F4A2C" w:rsidRPr="006E2F26" w:rsidRDefault="00B6279E"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 </w:t>
      </w:r>
      <w:r w:rsidR="006A3223" w:rsidRPr="006E2F26">
        <w:rPr>
          <w:rFonts w:asciiTheme="minorHAnsi" w:hAnsiTheme="minorHAnsi" w:cstheme="minorHAnsi"/>
          <w:sz w:val="24"/>
          <w:szCs w:val="24"/>
          <w:lang w:val="fr-FR"/>
        </w:rPr>
        <w:t xml:space="preserve">au paiement </w:t>
      </w:r>
      <w:r w:rsidR="004F4A2C" w:rsidRPr="006E2F26">
        <w:rPr>
          <w:rFonts w:asciiTheme="minorHAnsi" w:hAnsiTheme="minorHAnsi" w:cstheme="minorHAnsi"/>
          <w:sz w:val="24"/>
          <w:szCs w:val="24"/>
          <w:lang w:val="fr-FR"/>
        </w:rPr>
        <w:t xml:space="preserve">des sommes irrégulièrement retenues sur </w:t>
      </w:r>
      <w:r w:rsidR="006A3223" w:rsidRPr="006E2F26">
        <w:rPr>
          <w:rFonts w:asciiTheme="minorHAnsi" w:hAnsiTheme="minorHAnsi" w:cstheme="minorHAnsi"/>
          <w:sz w:val="24"/>
          <w:szCs w:val="24"/>
          <w:lang w:val="fr-FR"/>
        </w:rPr>
        <w:t>sa rémunération, correspondant au montant provisionnel</w:t>
      </w:r>
      <w:r w:rsidR="004F4A2C" w:rsidRPr="006E2F26">
        <w:rPr>
          <w:rFonts w:asciiTheme="minorHAnsi" w:hAnsiTheme="minorHAnsi" w:cstheme="minorHAnsi"/>
          <w:sz w:val="24"/>
          <w:szCs w:val="24"/>
          <w:lang w:val="fr-FR"/>
        </w:rPr>
        <w:t xml:space="preserve"> de 31.707,90 € bruts ;</w:t>
      </w:r>
    </w:p>
    <w:p w14:paraId="226A7DD9" w14:textId="77777777" w:rsidR="0071069B" w:rsidRPr="006E2F26" w:rsidRDefault="0071069B" w:rsidP="00340823">
      <w:pPr>
        <w:pStyle w:val="Textebrut"/>
        <w:tabs>
          <w:tab w:val="left" w:pos="1843"/>
        </w:tabs>
        <w:jc w:val="both"/>
        <w:rPr>
          <w:rFonts w:asciiTheme="minorHAnsi" w:hAnsiTheme="minorHAnsi" w:cstheme="minorHAnsi"/>
          <w:sz w:val="24"/>
          <w:szCs w:val="24"/>
          <w:lang w:val="fr-FR"/>
        </w:rPr>
      </w:pPr>
    </w:p>
    <w:p w14:paraId="6A6AC319" w14:textId="77777777" w:rsidR="004F4A2C" w:rsidRPr="006E2F26" w:rsidRDefault="006A3223"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 </w:t>
      </w:r>
      <w:r w:rsidR="006E2F26">
        <w:rPr>
          <w:rFonts w:asciiTheme="minorHAnsi" w:hAnsiTheme="minorHAnsi" w:cstheme="minorHAnsi"/>
          <w:sz w:val="24"/>
          <w:szCs w:val="24"/>
          <w:lang w:val="fr-FR"/>
        </w:rPr>
        <w:t xml:space="preserve"> </w:t>
      </w:r>
      <w:r w:rsidRPr="006E2F26">
        <w:rPr>
          <w:rFonts w:asciiTheme="minorHAnsi" w:hAnsiTheme="minorHAnsi" w:cstheme="minorHAnsi"/>
          <w:sz w:val="24"/>
          <w:szCs w:val="24"/>
          <w:lang w:val="fr-FR"/>
        </w:rPr>
        <w:t>au paiement d</w:t>
      </w:r>
      <w:r w:rsidR="004F4A2C" w:rsidRPr="006E2F26">
        <w:rPr>
          <w:rFonts w:asciiTheme="minorHAnsi" w:hAnsiTheme="minorHAnsi" w:cstheme="minorHAnsi"/>
          <w:sz w:val="24"/>
          <w:szCs w:val="24"/>
          <w:lang w:val="fr-FR"/>
        </w:rPr>
        <w:t>'</w:t>
      </w:r>
      <w:r w:rsidRPr="006E2F26">
        <w:rPr>
          <w:rFonts w:asciiTheme="minorHAnsi" w:hAnsiTheme="minorHAnsi" w:cstheme="minorHAnsi"/>
          <w:sz w:val="24"/>
          <w:szCs w:val="24"/>
          <w:lang w:val="fr-FR"/>
        </w:rPr>
        <w:t>une amende civile équivalente à</w:t>
      </w:r>
      <w:r w:rsidR="004F4A2C" w:rsidRPr="006E2F26">
        <w:rPr>
          <w:rFonts w:asciiTheme="minorHAnsi" w:hAnsiTheme="minorHAnsi" w:cstheme="minorHAnsi"/>
          <w:sz w:val="24"/>
          <w:szCs w:val="24"/>
          <w:lang w:val="fr-FR"/>
        </w:rPr>
        <w:t xml:space="preserve"> deux semaines de rémunération prévue par l'article 7, </w:t>
      </w:r>
      <w:r w:rsidRPr="006E2F26">
        <w:rPr>
          <w:rFonts w:asciiTheme="minorHAnsi" w:hAnsiTheme="minorHAnsi" w:cstheme="minorHAnsi"/>
          <w:sz w:val="24"/>
          <w:szCs w:val="24"/>
          <w:lang w:val="fr-FR"/>
        </w:rPr>
        <w:t>§1</w:t>
      </w:r>
      <w:r w:rsidRPr="006E2F26">
        <w:rPr>
          <w:rFonts w:asciiTheme="minorHAnsi" w:hAnsiTheme="minorHAnsi" w:cstheme="minorHAnsi"/>
          <w:sz w:val="24"/>
          <w:szCs w:val="24"/>
          <w:vertAlign w:val="superscript"/>
          <w:lang w:val="fr-FR"/>
        </w:rPr>
        <w:t>er</w:t>
      </w:r>
      <w:r w:rsidRPr="006E2F26">
        <w:rPr>
          <w:rFonts w:asciiTheme="minorHAnsi" w:hAnsiTheme="minorHAnsi" w:cstheme="minorHAnsi"/>
          <w:sz w:val="24"/>
          <w:szCs w:val="24"/>
          <w:lang w:val="fr-FR"/>
        </w:rPr>
        <w:t xml:space="preserve"> de la C.C.T.</w:t>
      </w:r>
      <w:r w:rsidR="004F4A2C" w:rsidRPr="006E2F26">
        <w:rPr>
          <w:rFonts w:asciiTheme="minorHAnsi" w:hAnsiTheme="minorHAnsi" w:cstheme="minorHAnsi"/>
          <w:sz w:val="24"/>
          <w:szCs w:val="24"/>
          <w:lang w:val="fr-FR"/>
        </w:rPr>
        <w:t xml:space="preserve"> n°109, soit la som</w:t>
      </w:r>
      <w:r w:rsidR="006E2F26">
        <w:rPr>
          <w:rFonts w:asciiTheme="minorHAnsi" w:hAnsiTheme="minorHAnsi" w:cstheme="minorHAnsi"/>
          <w:sz w:val="24"/>
          <w:szCs w:val="24"/>
          <w:lang w:val="fr-FR"/>
        </w:rPr>
        <w:t>me provisionnelle de 2.219,50 €</w:t>
      </w:r>
      <w:r w:rsidR="004F4A2C" w:rsidRPr="006E2F26">
        <w:rPr>
          <w:rFonts w:asciiTheme="minorHAnsi" w:hAnsiTheme="minorHAnsi" w:cstheme="minorHAnsi"/>
          <w:sz w:val="24"/>
          <w:szCs w:val="24"/>
          <w:lang w:val="fr-FR"/>
        </w:rPr>
        <w:t>;</w:t>
      </w:r>
    </w:p>
    <w:p w14:paraId="1CCB8B0C" w14:textId="77777777" w:rsidR="0071069B" w:rsidRPr="006E2F26" w:rsidRDefault="0071069B" w:rsidP="00340823">
      <w:pPr>
        <w:pStyle w:val="Textebrut"/>
        <w:tabs>
          <w:tab w:val="left" w:pos="1843"/>
        </w:tabs>
        <w:jc w:val="both"/>
        <w:rPr>
          <w:rFonts w:asciiTheme="minorHAnsi" w:hAnsiTheme="minorHAnsi" w:cstheme="minorHAnsi"/>
          <w:sz w:val="24"/>
          <w:szCs w:val="24"/>
          <w:lang w:val="fr-FR"/>
        </w:rPr>
      </w:pPr>
    </w:p>
    <w:p w14:paraId="47A21397" w14:textId="77777777" w:rsidR="004F4A2C" w:rsidRPr="006E2F26" w:rsidRDefault="006A3223"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lastRenderedPageBreak/>
        <w:t>- au paiement d’</w:t>
      </w:r>
      <w:r w:rsidR="004F4A2C" w:rsidRPr="006E2F26">
        <w:rPr>
          <w:rFonts w:asciiTheme="minorHAnsi" w:hAnsiTheme="minorHAnsi" w:cstheme="minorHAnsi"/>
          <w:sz w:val="24"/>
          <w:szCs w:val="24"/>
          <w:lang w:val="fr-FR"/>
        </w:rPr>
        <w:t>une indemnité pour licenciement manifestement déraisonnab</w:t>
      </w:r>
      <w:r w:rsidRPr="006E2F26">
        <w:rPr>
          <w:rFonts w:asciiTheme="minorHAnsi" w:hAnsiTheme="minorHAnsi" w:cstheme="minorHAnsi"/>
          <w:sz w:val="24"/>
          <w:szCs w:val="24"/>
          <w:lang w:val="fr-FR"/>
        </w:rPr>
        <w:t>le correspondant à</w:t>
      </w:r>
      <w:r w:rsidR="004F4A2C" w:rsidRPr="006E2F26">
        <w:rPr>
          <w:rFonts w:asciiTheme="minorHAnsi" w:hAnsiTheme="minorHAnsi" w:cstheme="minorHAnsi"/>
          <w:sz w:val="24"/>
          <w:szCs w:val="24"/>
          <w:lang w:val="fr-FR"/>
        </w:rPr>
        <w:t xml:space="preserve"> 17 semaines de rémunération, soit la somme pro</w:t>
      </w:r>
      <w:r w:rsidRPr="006E2F26">
        <w:rPr>
          <w:rFonts w:asciiTheme="minorHAnsi" w:hAnsiTheme="minorHAnsi" w:cstheme="minorHAnsi"/>
          <w:sz w:val="24"/>
          <w:szCs w:val="24"/>
          <w:lang w:val="fr-FR"/>
        </w:rPr>
        <w:t>visionnelle de 18.865,75€ bruts ;</w:t>
      </w:r>
    </w:p>
    <w:p w14:paraId="2FD66598" w14:textId="77777777" w:rsidR="00A118DC" w:rsidRPr="006E2F26" w:rsidRDefault="00A118DC" w:rsidP="00340823">
      <w:pPr>
        <w:pStyle w:val="Textebrut"/>
        <w:tabs>
          <w:tab w:val="left" w:pos="1843"/>
        </w:tabs>
        <w:jc w:val="both"/>
        <w:rPr>
          <w:rFonts w:asciiTheme="minorHAnsi" w:hAnsiTheme="minorHAnsi" w:cstheme="minorHAnsi"/>
          <w:sz w:val="24"/>
          <w:szCs w:val="24"/>
          <w:lang w:val="fr-FR"/>
        </w:rPr>
      </w:pPr>
    </w:p>
    <w:p w14:paraId="4F04349C" w14:textId="77777777" w:rsidR="004F4A2C" w:rsidRPr="006E2F26" w:rsidRDefault="006A3223"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 </w:t>
      </w:r>
      <w:r w:rsidR="006E2F26">
        <w:rPr>
          <w:rFonts w:asciiTheme="minorHAnsi" w:hAnsiTheme="minorHAnsi" w:cstheme="minorHAnsi"/>
          <w:sz w:val="24"/>
          <w:szCs w:val="24"/>
          <w:lang w:val="fr-FR"/>
        </w:rPr>
        <w:t xml:space="preserve"> </w:t>
      </w:r>
      <w:r w:rsidRPr="006E2F26">
        <w:rPr>
          <w:rFonts w:asciiTheme="minorHAnsi" w:hAnsiTheme="minorHAnsi" w:cstheme="minorHAnsi"/>
          <w:sz w:val="24"/>
          <w:szCs w:val="24"/>
          <w:lang w:val="fr-FR"/>
        </w:rPr>
        <w:t>au paiement des intérêts sur les sommes précit</w:t>
      </w:r>
      <w:r w:rsidR="004F4A2C" w:rsidRPr="006E2F26">
        <w:rPr>
          <w:rFonts w:asciiTheme="minorHAnsi" w:hAnsiTheme="minorHAnsi" w:cstheme="minorHAnsi"/>
          <w:sz w:val="24"/>
          <w:szCs w:val="24"/>
          <w:lang w:val="fr-FR"/>
        </w:rPr>
        <w:t>ées calculés au taux légal depuis la date d'introduction de la présente procédure judiciaire du 23 décembr</w:t>
      </w:r>
      <w:r w:rsidRPr="006E2F26">
        <w:rPr>
          <w:rFonts w:asciiTheme="minorHAnsi" w:hAnsiTheme="minorHAnsi" w:cstheme="minorHAnsi"/>
          <w:sz w:val="24"/>
          <w:szCs w:val="24"/>
          <w:lang w:val="fr-FR"/>
        </w:rPr>
        <w:t>e 2020 jusqu'à complet paiement ;</w:t>
      </w:r>
    </w:p>
    <w:p w14:paraId="6F632DF2" w14:textId="77777777" w:rsidR="0071069B" w:rsidRPr="006E2F26" w:rsidRDefault="0071069B" w:rsidP="00340823">
      <w:pPr>
        <w:pStyle w:val="Textebrut"/>
        <w:tabs>
          <w:tab w:val="left" w:pos="1843"/>
        </w:tabs>
        <w:jc w:val="both"/>
        <w:rPr>
          <w:rFonts w:asciiTheme="minorHAnsi" w:hAnsiTheme="minorHAnsi" w:cstheme="minorHAnsi"/>
          <w:sz w:val="24"/>
          <w:szCs w:val="24"/>
          <w:lang w:val="fr-FR"/>
        </w:rPr>
      </w:pPr>
    </w:p>
    <w:p w14:paraId="4AE67E9F" w14:textId="77777777" w:rsidR="004F4A2C" w:rsidRPr="006E2F26" w:rsidRDefault="006A3223"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 </w:t>
      </w:r>
      <w:r w:rsidR="006E2F26">
        <w:rPr>
          <w:rFonts w:asciiTheme="minorHAnsi" w:hAnsiTheme="minorHAnsi" w:cstheme="minorHAnsi"/>
          <w:sz w:val="24"/>
          <w:szCs w:val="24"/>
          <w:lang w:val="fr-FR"/>
        </w:rPr>
        <w:t xml:space="preserve"> </w:t>
      </w:r>
      <w:r w:rsidRPr="006E2F26">
        <w:rPr>
          <w:rFonts w:asciiTheme="minorHAnsi" w:hAnsiTheme="minorHAnsi" w:cstheme="minorHAnsi"/>
          <w:sz w:val="24"/>
          <w:szCs w:val="24"/>
          <w:lang w:val="fr-FR"/>
        </w:rPr>
        <w:t>à</w:t>
      </w:r>
      <w:r w:rsidR="004F4A2C" w:rsidRPr="006E2F26">
        <w:rPr>
          <w:rFonts w:asciiTheme="minorHAnsi" w:hAnsiTheme="minorHAnsi" w:cstheme="minorHAnsi"/>
          <w:sz w:val="24"/>
          <w:szCs w:val="24"/>
          <w:lang w:val="fr-FR"/>
        </w:rPr>
        <w:t xml:space="preserve"> déli</w:t>
      </w:r>
      <w:r w:rsidRPr="006E2F26">
        <w:rPr>
          <w:rFonts w:asciiTheme="minorHAnsi" w:hAnsiTheme="minorHAnsi" w:cstheme="minorHAnsi"/>
          <w:sz w:val="24"/>
          <w:szCs w:val="24"/>
          <w:lang w:val="fr-FR"/>
        </w:rPr>
        <w:t>vrer un formulaire C4 rectifié à</w:t>
      </w:r>
      <w:r w:rsidR="004F4A2C" w:rsidRPr="006E2F26">
        <w:rPr>
          <w:rFonts w:asciiTheme="minorHAnsi" w:hAnsiTheme="minorHAnsi" w:cstheme="minorHAnsi"/>
          <w:sz w:val="24"/>
          <w:szCs w:val="24"/>
          <w:lang w:val="fr-FR"/>
        </w:rPr>
        <w:t xml:space="preserve"> l'issue de la pr</w:t>
      </w:r>
      <w:r w:rsidRPr="006E2F26">
        <w:rPr>
          <w:rFonts w:asciiTheme="minorHAnsi" w:hAnsiTheme="minorHAnsi" w:cstheme="minorHAnsi"/>
          <w:sz w:val="24"/>
          <w:szCs w:val="24"/>
          <w:lang w:val="fr-FR"/>
        </w:rPr>
        <w:t>océdure judiciaire ;</w:t>
      </w:r>
    </w:p>
    <w:p w14:paraId="07946E36" w14:textId="77777777" w:rsidR="00A57B8B" w:rsidRPr="006E2F26" w:rsidRDefault="00A57B8B" w:rsidP="00340823">
      <w:pPr>
        <w:pStyle w:val="Textebrut"/>
        <w:tabs>
          <w:tab w:val="left" w:pos="1843"/>
        </w:tabs>
        <w:jc w:val="both"/>
        <w:rPr>
          <w:rFonts w:asciiTheme="minorHAnsi" w:hAnsiTheme="minorHAnsi" w:cstheme="minorHAnsi"/>
          <w:sz w:val="24"/>
          <w:szCs w:val="24"/>
          <w:lang w:val="fr-FR"/>
        </w:rPr>
      </w:pPr>
    </w:p>
    <w:p w14:paraId="6454B5ED" w14:textId="77777777" w:rsidR="004F4A2C" w:rsidRPr="006E2F26" w:rsidRDefault="006A3223"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 </w:t>
      </w:r>
      <w:r w:rsidR="006E2F26">
        <w:rPr>
          <w:rFonts w:asciiTheme="minorHAnsi" w:hAnsiTheme="minorHAnsi" w:cstheme="minorHAnsi"/>
          <w:sz w:val="24"/>
          <w:szCs w:val="24"/>
          <w:lang w:val="fr-FR"/>
        </w:rPr>
        <w:t xml:space="preserve"> </w:t>
      </w:r>
      <w:r w:rsidRPr="006E2F26">
        <w:rPr>
          <w:rFonts w:asciiTheme="minorHAnsi" w:hAnsiTheme="minorHAnsi" w:cstheme="minorHAnsi"/>
          <w:sz w:val="24"/>
          <w:szCs w:val="24"/>
          <w:lang w:val="fr-FR"/>
        </w:rPr>
        <w:t>à</w:t>
      </w:r>
      <w:r w:rsidR="004F4A2C" w:rsidRPr="006E2F26">
        <w:rPr>
          <w:rFonts w:asciiTheme="minorHAnsi" w:hAnsiTheme="minorHAnsi" w:cstheme="minorHAnsi"/>
          <w:sz w:val="24"/>
          <w:szCs w:val="24"/>
          <w:lang w:val="fr-FR"/>
        </w:rPr>
        <w:t xml:space="preserve"> faire droit </w:t>
      </w:r>
      <w:r w:rsidRPr="006E2F26">
        <w:rPr>
          <w:rFonts w:asciiTheme="minorHAnsi" w:hAnsiTheme="minorHAnsi" w:cstheme="minorHAnsi"/>
          <w:sz w:val="24"/>
          <w:szCs w:val="24"/>
          <w:lang w:val="fr-FR"/>
        </w:rPr>
        <w:t>à</w:t>
      </w:r>
      <w:r w:rsidR="004F4A2C" w:rsidRPr="006E2F26">
        <w:rPr>
          <w:rFonts w:asciiTheme="minorHAnsi" w:hAnsiTheme="minorHAnsi" w:cstheme="minorHAnsi"/>
          <w:sz w:val="24"/>
          <w:szCs w:val="24"/>
          <w:lang w:val="fr-FR"/>
        </w:rPr>
        <w:t xml:space="preserve"> cette demande dans les 10 jours du prononcé du ju</w:t>
      </w:r>
      <w:r w:rsidRPr="006E2F26">
        <w:rPr>
          <w:rFonts w:asciiTheme="minorHAnsi" w:hAnsiTheme="minorHAnsi" w:cstheme="minorHAnsi"/>
          <w:sz w:val="24"/>
          <w:szCs w:val="24"/>
          <w:lang w:val="fr-FR"/>
        </w:rPr>
        <w:t xml:space="preserve">gement, sous astreinte de 100 </w:t>
      </w:r>
      <w:r w:rsidR="004F4A2C" w:rsidRPr="006E2F26">
        <w:rPr>
          <w:rFonts w:asciiTheme="minorHAnsi" w:hAnsiTheme="minorHAnsi" w:cstheme="minorHAnsi"/>
          <w:sz w:val="24"/>
          <w:szCs w:val="24"/>
          <w:lang w:val="fr-FR"/>
        </w:rPr>
        <w:t xml:space="preserve">€ par jour de retard </w:t>
      </w:r>
      <w:r w:rsidRPr="006E2F26">
        <w:rPr>
          <w:rFonts w:asciiTheme="minorHAnsi" w:hAnsiTheme="minorHAnsi" w:cstheme="minorHAnsi"/>
          <w:sz w:val="24"/>
          <w:szCs w:val="24"/>
          <w:lang w:val="fr-FR"/>
        </w:rPr>
        <w:t>à</w:t>
      </w:r>
      <w:r w:rsidR="004F4A2C" w:rsidRPr="006E2F26">
        <w:rPr>
          <w:rFonts w:asciiTheme="minorHAnsi" w:hAnsiTheme="minorHAnsi" w:cstheme="minorHAnsi"/>
          <w:sz w:val="24"/>
          <w:szCs w:val="24"/>
          <w:lang w:val="fr-FR"/>
        </w:rPr>
        <w:t xml:space="preserve"> dater d</w:t>
      </w:r>
      <w:r w:rsidRPr="006E2F26">
        <w:rPr>
          <w:rFonts w:asciiTheme="minorHAnsi" w:hAnsiTheme="minorHAnsi" w:cstheme="minorHAnsi"/>
          <w:sz w:val="24"/>
          <w:szCs w:val="24"/>
          <w:lang w:val="fr-FR"/>
        </w:rPr>
        <w:t>e l'expiration de ce délai ;</w:t>
      </w:r>
    </w:p>
    <w:p w14:paraId="20D43AAA" w14:textId="77777777" w:rsidR="0071069B" w:rsidRPr="006E2F26" w:rsidRDefault="0071069B" w:rsidP="00340823">
      <w:pPr>
        <w:pStyle w:val="Textebrut"/>
        <w:tabs>
          <w:tab w:val="left" w:pos="1843"/>
        </w:tabs>
        <w:jc w:val="both"/>
        <w:rPr>
          <w:rFonts w:asciiTheme="minorHAnsi" w:hAnsiTheme="minorHAnsi" w:cstheme="minorHAnsi"/>
          <w:sz w:val="24"/>
          <w:szCs w:val="24"/>
          <w:lang w:val="fr-FR"/>
        </w:rPr>
      </w:pPr>
    </w:p>
    <w:p w14:paraId="08DB3F03" w14:textId="77777777" w:rsidR="004F4A2C" w:rsidRPr="006E2F26" w:rsidRDefault="006559E1"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w:t>
      </w:r>
      <w:r w:rsidR="004F4A2C" w:rsidRPr="006E2F26">
        <w:rPr>
          <w:rFonts w:asciiTheme="minorHAnsi" w:hAnsiTheme="minorHAnsi" w:cstheme="minorHAnsi"/>
          <w:sz w:val="24"/>
          <w:szCs w:val="24"/>
          <w:lang w:val="fr-FR"/>
        </w:rPr>
        <w:t xml:space="preserve"> </w:t>
      </w:r>
      <w:r w:rsidR="006E2F26">
        <w:rPr>
          <w:rFonts w:asciiTheme="minorHAnsi" w:hAnsiTheme="minorHAnsi" w:cstheme="minorHAnsi"/>
          <w:sz w:val="24"/>
          <w:szCs w:val="24"/>
          <w:lang w:val="fr-FR"/>
        </w:rPr>
        <w:t xml:space="preserve"> </w:t>
      </w:r>
      <w:r w:rsidR="004F4A2C" w:rsidRPr="006E2F26">
        <w:rPr>
          <w:rFonts w:asciiTheme="minorHAnsi" w:hAnsiTheme="minorHAnsi" w:cstheme="minorHAnsi"/>
          <w:sz w:val="24"/>
          <w:szCs w:val="24"/>
          <w:lang w:val="fr-FR"/>
        </w:rPr>
        <w:t>aux dépens, soit</w:t>
      </w:r>
      <w:r w:rsidR="00A87BDA" w:rsidRPr="006E2F26">
        <w:rPr>
          <w:rFonts w:asciiTheme="minorHAnsi" w:hAnsiTheme="minorHAnsi" w:cstheme="minorHAnsi"/>
          <w:sz w:val="24"/>
          <w:szCs w:val="24"/>
          <w:lang w:val="fr-FR"/>
        </w:rPr>
        <w:t xml:space="preserve"> </w:t>
      </w:r>
      <w:r w:rsidR="004F4A2C" w:rsidRPr="006E2F26">
        <w:rPr>
          <w:rFonts w:asciiTheme="minorHAnsi" w:hAnsiTheme="minorHAnsi" w:cstheme="minorHAnsi"/>
          <w:sz w:val="24"/>
          <w:szCs w:val="24"/>
          <w:lang w:val="fr-FR"/>
        </w:rPr>
        <w:t xml:space="preserve">: </w:t>
      </w:r>
    </w:p>
    <w:p w14:paraId="5E0D12DB" w14:textId="77777777" w:rsidR="00A87BDA" w:rsidRPr="006E2F26" w:rsidRDefault="00A87BDA" w:rsidP="00340823">
      <w:pPr>
        <w:pStyle w:val="Textebrut"/>
        <w:tabs>
          <w:tab w:val="left" w:pos="1843"/>
        </w:tabs>
        <w:jc w:val="both"/>
        <w:rPr>
          <w:rFonts w:asciiTheme="minorHAnsi" w:hAnsiTheme="minorHAnsi" w:cstheme="minorHAnsi"/>
          <w:sz w:val="24"/>
          <w:szCs w:val="24"/>
          <w:lang w:val="fr-FR"/>
        </w:rPr>
      </w:pPr>
    </w:p>
    <w:p w14:paraId="36994150" w14:textId="77777777" w:rsidR="004F4A2C" w:rsidRPr="006E2F26" w:rsidRDefault="000C7867" w:rsidP="00340823">
      <w:pPr>
        <w:pStyle w:val="Textebrut"/>
        <w:numPr>
          <w:ilvl w:val="0"/>
          <w:numId w:val="7"/>
        </w:numPr>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20 </w:t>
      </w:r>
      <w:r w:rsidR="006559E1" w:rsidRPr="006E2F26">
        <w:rPr>
          <w:rFonts w:asciiTheme="minorHAnsi" w:hAnsiTheme="minorHAnsi" w:cstheme="minorHAnsi"/>
          <w:sz w:val="24"/>
          <w:szCs w:val="24"/>
          <w:lang w:val="fr-FR"/>
        </w:rPr>
        <w:t>€</w:t>
      </w:r>
      <w:r w:rsidR="004F4A2C" w:rsidRPr="006E2F26">
        <w:rPr>
          <w:rFonts w:asciiTheme="minorHAnsi" w:hAnsiTheme="minorHAnsi" w:cstheme="minorHAnsi"/>
          <w:sz w:val="24"/>
          <w:szCs w:val="24"/>
          <w:lang w:val="fr-FR"/>
        </w:rPr>
        <w:t xml:space="preserve"> de contribution au fonds d'aide juridique de deuxième ligne ;</w:t>
      </w:r>
    </w:p>
    <w:p w14:paraId="306B672A" w14:textId="77777777" w:rsidR="004F4A2C" w:rsidRPr="006E2F26" w:rsidRDefault="000C7867" w:rsidP="00340823">
      <w:pPr>
        <w:pStyle w:val="Textebrut"/>
        <w:numPr>
          <w:ilvl w:val="0"/>
          <w:numId w:val="7"/>
        </w:numPr>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3.900</w:t>
      </w:r>
      <w:r w:rsidR="004F4A2C" w:rsidRPr="006E2F26">
        <w:rPr>
          <w:rFonts w:asciiTheme="minorHAnsi" w:hAnsiTheme="minorHAnsi" w:cstheme="minorHAnsi"/>
          <w:sz w:val="24"/>
          <w:szCs w:val="24"/>
          <w:lang w:val="fr-FR"/>
        </w:rPr>
        <w:t xml:space="preserve"> € d'indemnité de procédure.</w:t>
      </w:r>
    </w:p>
    <w:p w14:paraId="23618C94" w14:textId="77777777" w:rsidR="006559E1" w:rsidRPr="006E2F26" w:rsidRDefault="006559E1" w:rsidP="00340823">
      <w:pPr>
        <w:pStyle w:val="Textebrut"/>
        <w:tabs>
          <w:tab w:val="left" w:pos="1843"/>
        </w:tabs>
        <w:jc w:val="both"/>
        <w:rPr>
          <w:rFonts w:asciiTheme="minorHAnsi" w:hAnsiTheme="minorHAnsi" w:cstheme="minorHAnsi"/>
          <w:sz w:val="24"/>
          <w:szCs w:val="24"/>
          <w:lang w:val="fr-FR"/>
        </w:rPr>
      </w:pPr>
    </w:p>
    <w:p w14:paraId="705AC6D4" w14:textId="0726913E" w:rsidR="004F4A2C" w:rsidRPr="006E2F26" w:rsidRDefault="008C7B4A"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M.</w:t>
      </w:r>
      <w:r w:rsidR="00874407" w:rsidRPr="006E2F26">
        <w:rPr>
          <w:rFonts w:asciiTheme="minorHAnsi" w:hAnsiTheme="minorHAnsi" w:cstheme="minorHAnsi"/>
          <w:sz w:val="24"/>
          <w:szCs w:val="24"/>
          <w:lang w:val="fr-FR"/>
        </w:rPr>
        <w:t xml:space="preserve"> </w:t>
      </w:r>
      <w:proofErr w:type="spellStart"/>
      <w:r w:rsidR="00961229">
        <w:rPr>
          <w:rFonts w:asciiTheme="minorHAnsi" w:hAnsiTheme="minorHAnsi" w:cstheme="minorHAnsi"/>
          <w:sz w:val="24"/>
          <w:szCs w:val="24"/>
          <w:lang w:val="fr-FR"/>
        </w:rPr>
        <w:t>M</w:t>
      </w:r>
      <w:proofErr w:type="spellEnd"/>
      <w:r w:rsidR="006559E1" w:rsidRPr="006E2F26">
        <w:rPr>
          <w:rFonts w:asciiTheme="minorHAnsi" w:hAnsiTheme="minorHAnsi" w:cstheme="minorHAnsi"/>
          <w:sz w:val="24"/>
          <w:szCs w:val="24"/>
          <w:lang w:val="fr-FR"/>
        </w:rPr>
        <w:t xml:space="preserve"> demande également </w:t>
      </w:r>
      <w:r w:rsidR="004F4A2C" w:rsidRPr="006E2F26">
        <w:rPr>
          <w:rFonts w:asciiTheme="minorHAnsi" w:hAnsiTheme="minorHAnsi" w:cstheme="minorHAnsi"/>
          <w:sz w:val="24"/>
          <w:szCs w:val="24"/>
          <w:lang w:val="fr-FR"/>
        </w:rPr>
        <w:t>l'ex</w:t>
      </w:r>
      <w:r w:rsidR="006559E1" w:rsidRPr="006E2F26">
        <w:rPr>
          <w:rFonts w:asciiTheme="minorHAnsi" w:hAnsiTheme="minorHAnsi" w:cstheme="minorHAnsi"/>
          <w:sz w:val="24"/>
          <w:szCs w:val="24"/>
          <w:lang w:val="fr-FR"/>
        </w:rPr>
        <w:t>écution provisoire du jugement à</w:t>
      </w:r>
      <w:r w:rsidR="004F4A2C" w:rsidRPr="006E2F26">
        <w:rPr>
          <w:rFonts w:asciiTheme="minorHAnsi" w:hAnsiTheme="minorHAnsi" w:cstheme="minorHAnsi"/>
          <w:sz w:val="24"/>
          <w:szCs w:val="24"/>
          <w:lang w:val="fr-FR"/>
        </w:rPr>
        <w:t xml:space="preserve"> intervenir nonobstant appel, sans caution ni offre de cantonnement.</w:t>
      </w:r>
    </w:p>
    <w:p w14:paraId="658AB4A4" w14:textId="77777777" w:rsidR="004F4A2C" w:rsidRDefault="004F4A2C" w:rsidP="00340823">
      <w:pPr>
        <w:pStyle w:val="Textebrut"/>
        <w:tabs>
          <w:tab w:val="left" w:pos="1843"/>
        </w:tabs>
        <w:jc w:val="both"/>
        <w:rPr>
          <w:rFonts w:asciiTheme="minorHAnsi" w:hAnsiTheme="minorHAnsi" w:cstheme="minorHAnsi"/>
          <w:b/>
          <w:sz w:val="24"/>
          <w:szCs w:val="24"/>
          <w:u w:val="single"/>
          <w:lang w:val="fr-FR"/>
        </w:rPr>
      </w:pPr>
    </w:p>
    <w:p w14:paraId="1540DAB6" w14:textId="77777777" w:rsidR="006E2F26" w:rsidRPr="006E2F26" w:rsidRDefault="006E2F26" w:rsidP="00340823">
      <w:pPr>
        <w:pStyle w:val="Textebrut"/>
        <w:tabs>
          <w:tab w:val="left" w:pos="1843"/>
        </w:tabs>
        <w:jc w:val="both"/>
        <w:rPr>
          <w:rFonts w:asciiTheme="minorHAnsi" w:hAnsiTheme="minorHAnsi" w:cstheme="minorHAnsi"/>
          <w:b/>
          <w:sz w:val="24"/>
          <w:szCs w:val="24"/>
          <w:u w:val="single"/>
          <w:lang w:val="fr-FR"/>
        </w:rPr>
      </w:pPr>
    </w:p>
    <w:p w14:paraId="74133781" w14:textId="77777777" w:rsidR="004F4A2C" w:rsidRPr="006E2F26" w:rsidRDefault="00874407"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b/>
          <w:sz w:val="24"/>
          <w:szCs w:val="24"/>
          <w:lang w:val="fr-FR"/>
        </w:rPr>
        <w:t>L’A.S.B.L.</w:t>
      </w:r>
      <w:r w:rsidR="00593A69" w:rsidRPr="006E2F26">
        <w:rPr>
          <w:rFonts w:asciiTheme="minorHAnsi" w:hAnsiTheme="minorHAnsi" w:cstheme="minorHAnsi"/>
          <w:b/>
          <w:sz w:val="24"/>
          <w:szCs w:val="24"/>
          <w:lang w:val="fr-FR"/>
        </w:rPr>
        <w:t xml:space="preserve"> </w:t>
      </w:r>
      <w:r w:rsidRPr="006E2F26">
        <w:rPr>
          <w:rFonts w:asciiTheme="minorHAnsi" w:hAnsiTheme="minorHAnsi" w:cstheme="minorHAnsi"/>
          <w:b/>
          <w:sz w:val="24"/>
          <w:szCs w:val="24"/>
          <w:lang w:val="fr-FR"/>
        </w:rPr>
        <w:t>AILE FRANCOPHONE DE LA FEDERATION ROYALE BELGE DE TENNIS DE TABLES</w:t>
      </w:r>
      <w:r w:rsidRPr="006E2F26">
        <w:rPr>
          <w:rFonts w:asciiTheme="minorHAnsi" w:hAnsiTheme="minorHAnsi" w:cstheme="minorHAnsi"/>
          <w:sz w:val="24"/>
          <w:szCs w:val="24"/>
          <w:lang w:val="fr-FR"/>
        </w:rPr>
        <w:t xml:space="preserve"> </w:t>
      </w:r>
      <w:r w:rsidR="00593A69" w:rsidRPr="006E2F26">
        <w:rPr>
          <w:rFonts w:asciiTheme="minorHAnsi" w:hAnsiTheme="minorHAnsi" w:cstheme="minorHAnsi"/>
          <w:sz w:val="24"/>
          <w:szCs w:val="24"/>
          <w:lang w:val="fr-FR"/>
        </w:rPr>
        <w:t xml:space="preserve">considère, à titre principal, </w:t>
      </w:r>
      <w:r w:rsidR="004F4A2C" w:rsidRPr="006E2F26">
        <w:rPr>
          <w:rFonts w:asciiTheme="minorHAnsi" w:hAnsiTheme="minorHAnsi" w:cstheme="minorHAnsi"/>
          <w:sz w:val="24"/>
          <w:szCs w:val="24"/>
          <w:lang w:val="fr-FR"/>
        </w:rPr>
        <w:t>que </w:t>
      </w:r>
      <w:r w:rsidR="00AC376E" w:rsidRPr="006E2F26">
        <w:rPr>
          <w:rFonts w:asciiTheme="minorHAnsi" w:hAnsiTheme="minorHAnsi" w:cstheme="minorHAnsi"/>
          <w:sz w:val="24"/>
          <w:szCs w:val="24"/>
          <w:lang w:val="fr-FR"/>
        </w:rPr>
        <w:t xml:space="preserve">le Tribunal doit dire pour droit que </w:t>
      </w:r>
      <w:r w:rsidR="004F4A2C" w:rsidRPr="006E2F26">
        <w:rPr>
          <w:rFonts w:asciiTheme="minorHAnsi" w:hAnsiTheme="minorHAnsi" w:cstheme="minorHAnsi"/>
          <w:sz w:val="24"/>
          <w:szCs w:val="24"/>
          <w:lang w:val="fr-FR"/>
        </w:rPr>
        <w:t>:</w:t>
      </w:r>
    </w:p>
    <w:p w14:paraId="20454354" w14:textId="77777777" w:rsidR="0071069B" w:rsidRPr="006E2F26" w:rsidRDefault="0071069B" w:rsidP="00340823">
      <w:pPr>
        <w:pStyle w:val="Textebrut"/>
        <w:tabs>
          <w:tab w:val="left" w:pos="1843"/>
        </w:tabs>
        <w:jc w:val="both"/>
        <w:rPr>
          <w:rFonts w:asciiTheme="minorHAnsi" w:hAnsiTheme="minorHAnsi" w:cstheme="minorHAnsi"/>
          <w:sz w:val="24"/>
          <w:szCs w:val="24"/>
          <w:lang w:val="fr-FR"/>
        </w:rPr>
      </w:pPr>
    </w:p>
    <w:p w14:paraId="1C34C3E9" w14:textId="77777777" w:rsidR="004F4A2C" w:rsidRPr="006E2F26" w:rsidRDefault="00593A69"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 </w:t>
      </w:r>
      <w:r w:rsidR="00AC376E" w:rsidRPr="006E2F26">
        <w:rPr>
          <w:rFonts w:asciiTheme="minorHAnsi" w:hAnsiTheme="minorHAnsi" w:cstheme="minorHAnsi"/>
          <w:sz w:val="24"/>
          <w:szCs w:val="24"/>
          <w:lang w:val="fr-FR"/>
        </w:rPr>
        <w:t>l</w:t>
      </w:r>
      <w:r w:rsidR="004F4A2C" w:rsidRPr="006E2F26">
        <w:rPr>
          <w:rFonts w:asciiTheme="minorHAnsi" w:hAnsiTheme="minorHAnsi" w:cstheme="minorHAnsi"/>
          <w:sz w:val="24"/>
          <w:szCs w:val="24"/>
          <w:lang w:val="fr-FR"/>
        </w:rPr>
        <w:t>a loi du 24/02/1978 relative au contrat de travail du sportif rémunéré ne s’applique pas en l’espèce ;</w:t>
      </w:r>
    </w:p>
    <w:p w14:paraId="2F4C85AE" w14:textId="77777777" w:rsidR="0071069B" w:rsidRPr="006E2F26" w:rsidRDefault="0071069B" w:rsidP="00340823">
      <w:pPr>
        <w:pStyle w:val="Textebrut"/>
        <w:tabs>
          <w:tab w:val="left" w:pos="1843"/>
        </w:tabs>
        <w:jc w:val="both"/>
        <w:rPr>
          <w:rFonts w:asciiTheme="minorHAnsi" w:hAnsiTheme="minorHAnsi" w:cstheme="minorHAnsi"/>
          <w:sz w:val="24"/>
          <w:szCs w:val="24"/>
          <w:lang w:val="fr-FR"/>
        </w:rPr>
      </w:pPr>
    </w:p>
    <w:p w14:paraId="25B13B5B" w14:textId="7AE212DE" w:rsidR="004F4A2C" w:rsidRPr="006E2F26" w:rsidRDefault="00593A69"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 </w:t>
      </w:r>
      <w:r w:rsidR="008C7B4A" w:rsidRPr="006E2F26">
        <w:rPr>
          <w:rFonts w:asciiTheme="minorHAnsi" w:hAnsiTheme="minorHAnsi" w:cstheme="minorHAnsi"/>
          <w:sz w:val="24"/>
          <w:szCs w:val="24"/>
          <w:lang w:val="fr-FR"/>
        </w:rPr>
        <w:t>M.</w:t>
      </w:r>
      <w:r w:rsidR="00874407" w:rsidRPr="006E2F26">
        <w:rPr>
          <w:rFonts w:asciiTheme="minorHAnsi" w:hAnsiTheme="minorHAnsi" w:cstheme="minorHAnsi"/>
          <w:sz w:val="24"/>
          <w:szCs w:val="24"/>
          <w:lang w:val="fr-FR"/>
        </w:rPr>
        <w:t xml:space="preserve"> </w:t>
      </w:r>
      <w:r w:rsidR="00961229">
        <w:rPr>
          <w:rFonts w:asciiTheme="minorHAnsi" w:hAnsiTheme="minorHAnsi" w:cstheme="minorHAnsi"/>
          <w:sz w:val="24"/>
          <w:szCs w:val="24"/>
          <w:lang w:val="fr-FR"/>
        </w:rPr>
        <w:t>M</w:t>
      </w:r>
      <w:r w:rsidR="004F4A2C" w:rsidRPr="006E2F26">
        <w:rPr>
          <w:rFonts w:asciiTheme="minorHAnsi" w:hAnsiTheme="minorHAnsi" w:cstheme="minorHAnsi"/>
          <w:sz w:val="24"/>
          <w:szCs w:val="24"/>
          <w:lang w:val="fr-FR"/>
        </w:rPr>
        <w:t xml:space="preserve"> ne peut réclamer à titre subsidiaire à charge de la concluante le paiement d’une indemnité complémentaire de préavis de 3 mois et 6 semaines ;</w:t>
      </w:r>
    </w:p>
    <w:p w14:paraId="1B3ECF0E" w14:textId="77777777" w:rsidR="0071069B" w:rsidRPr="006E2F26" w:rsidRDefault="0071069B" w:rsidP="00340823">
      <w:pPr>
        <w:pStyle w:val="Textebrut"/>
        <w:tabs>
          <w:tab w:val="left" w:pos="1843"/>
        </w:tabs>
        <w:jc w:val="both"/>
        <w:rPr>
          <w:rFonts w:asciiTheme="minorHAnsi" w:hAnsiTheme="minorHAnsi" w:cstheme="minorHAnsi"/>
          <w:sz w:val="24"/>
          <w:szCs w:val="24"/>
          <w:lang w:val="fr-FR"/>
        </w:rPr>
      </w:pPr>
    </w:p>
    <w:p w14:paraId="5399FA04" w14:textId="28D01F1A" w:rsidR="004F4A2C" w:rsidRPr="006E2F26" w:rsidRDefault="004F4A2C"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w:t>
      </w:r>
      <w:r w:rsidR="00593A69" w:rsidRPr="006E2F26">
        <w:rPr>
          <w:rFonts w:asciiTheme="minorHAnsi" w:hAnsiTheme="minorHAnsi" w:cstheme="minorHAnsi"/>
          <w:sz w:val="24"/>
          <w:szCs w:val="24"/>
          <w:lang w:val="fr-FR"/>
        </w:rPr>
        <w:t xml:space="preserve"> </w:t>
      </w:r>
      <w:r w:rsidR="008C7B4A" w:rsidRPr="006E2F26">
        <w:rPr>
          <w:rFonts w:asciiTheme="minorHAnsi" w:hAnsiTheme="minorHAnsi" w:cstheme="minorHAnsi"/>
          <w:sz w:val="24"/>
          <w:szCs w:val="24"/>
          <w:lang w:val="fr-FR"/>
        </w:rPr>
        <w:t>M.</w:t>
      </w:r>
      <w:r w:rsidR="00874407" w:rsidRPr="006E2F26">
        <w:rPr>
          <w:rFonts w:asciiTheme="minorHAnsi" w:hAnsiTheme="minorHAnsi" w:cstheme="minorHAnsi"/>
          <w:sz w:val="24"/>
          <w:szCs w:val="24"/>
          <w:lang w:val="fr-FR"/>
        </w:rPr>
        <w:t xml:space="preserve"> </w:t>
      </w:r>
      <w:r w:rsidR="00961229">
        <w:rPr>
          <w:rFonts w:asciiTheme="minorHAnsi" w:hAnsiTheme="minorHAnsi" w:cstheme="minorHAnsi"/>
          <w:sz w:val="24"/>
          <w:szCs w:val="24"/>
          <w:lang w:val="fr-FR"/>
        </w:rPr>
        <w:t>M</w:t>
      </w:r>
      <w:r w:rsidRPr="006E2F26">
        <w:rPr>
          <w:rFonts w:asciiTheme="minorHAnsi" w:hAnsiTheme="minorHAnsi" w:cstheme="minorHAnsi"/>
          <w:sz w:val="24"/>
          <w:szCs w:val="24"/>
          <w:lang w:val="fr-FR"/>
        </w:rPr>
        <w:t xml:space="preserve"> ne peut réclamer le paiement par la concluante d’une somme de 31.707,90</w:t>
      </w:r>
      <w:r w:rsidR="00F74016" w:rsidRPr="006E2F26">
        <w:rPr>
          <w:rFonts w:asciiTheme="minorHAnsi" w:hAnsiTheme="minorHAnsi" w:cstheme="minorHAnsi"/>
          <w:sz w:val="24"/>
          <w:szCs w:val="24"/>
          <w:lang w:val="fr-FR"/>
        </w:rPr>
        <w:t xml:space="preserve"> </w:t>
      </w:r>
      <w:r w:rsidRPr="006E2F26">
        <w:rPr>
          <w:rFonts w:asciiTheme="minorHAnsi" w:hAnsiTheme="minorHAnsi" w:cstheme="minorHAnsi"/>
          <w:sz w:val="24"/>
          <w:szCs w:val="24"/>
          <w:lang w:val="fr-FR"/>
        </w:rPr>
        <w:t>€ à titre de remboursement de sommes irrégulièreme</w:t>
      </w:r>
      <w:r w:rsidR="00F74016" w:rsidRPr="006E2F26">
        <w:rPr>
          <w:rFonts w:asciiTheme="minorHAnsi" w:hAnsiTheme="minorHAnsi" w:cstheme="minorHAnsi"/>
          <w:sz w:val="24"/>
          <w:szCs w:val="24"/>
          <w:lang w:val="fr-FR"/>
        </w:rPr>
        <w:t>nt retenues sur sa rémunération</w:t>
      </w:r>
      <w:r w:rsidRPr="006E2F26">
        <w:rPr>
          <w:rFonts w:asciiTheme="minorHAnsi" w:hAnsiTheme="minorHAnsi" w:cstheme="minorHAnsi"/>
          <w:sz w:val="24"/>
          <w:szCs w:val="24"/>
          <w:lang w:val="fr-FR"/>
        </w:rPr>
        <w:t>;</w:t>
      </w:r>
    </w:p>
    <w:p w14:paraId="5519528E" w14:textId="77777777" w:rsidR="0071069B" w:rsidRPr="006E2F26" w:rsidRDefault="0071069B" w:rsidP="00340823">
      <w:pPr>
        <w:pStyle w:val="Textebrut"/>
        <w:tabs>
          <w:tab w:val="left" w:pos="1843"/>
        </w:tabs>
        <w:jc w:val="both"/>
        <w:rPr>
          <w:rFonts w:asciiTheme="minorHAnsi" w:hAnsiTheme="minorHAnsi" w:cstheme="minorHAnsi"/>
          <w:sz w:val="24"/>
          <w:szCs w:val="24"/>
          <w:lang w:val="fr-FR"/>
        </w:rPr>
      </w:pPr>
    </w:p>
    <w:p w14:paraId="4780E907" w14:textId="77777777" w:rsidR="004F4A2C" w:rsidRPr="006E2F26" w:rsidRDefault="00593A69"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 </w:t>
      </w:r>
      <w:r w:rsidR="00AC376E" w:rsidRPr="006E2F26">
        <w:rPr>
          <w:rFonts w:asciiTheme="minorHAnsi" w:hAnsiTheme="minorHAnsi" w:cstheme="minorHAnsi"/>
          <w:sz w:val="24"/>
          <w:szCs w:val="24"/>
          <w:lang w:val="fr-FR"/>
        </w:rPr>
        <w:t>a</w:t>
      </w:r>
      <w:r w:rsidR="004F4A2C" w:rsidRPr="006E2F26">
        <w:rPr>
          <w:rFonts w:asciiTheme="minorHAnsi" w:hAnsiTheme="minorHAnsi" w:cstheme="minorHAnsi"/>
          <w:sz w:val="24"/>
          <w:szCs w:val="24"/>
          <w:lang w:val="fr-FR"/>
        </w:rPr>
        <w:t>ucune indemnité pour licenciement « manifestement déraisonnable » ne peut être</w:t>
      </w:r>
      <w:r w:rsidRPr="006E2F26">
        <w:rPr>
          <w:rFonts w:asciiTheme="minorHAnsi" w:hAnsiTheme="minorHAnsi" w:cstheme="minorHAnsi"/>
          <w:sz w:val="24"/>
          <w:szCs w:val="24"/>
          <w:lang w:val="fr-FR"/>
        </w:rPr>
        <w:t xml:space="preserve"> mise à charge de la concluante</w:t>
      </w:r>
      <w:r w:rsidR="00AC376E" w:rsidRPr="006E2F26">
        <w:rPr>
          <w:rFonts w:asciiTheme="minorHAnsi" w:hAnsiTheme="minorHAnsi" w:cstheme="minorHAnsi"/>
          <w:sz w:val="24"/>
          <w:szCs w:val="24"/>
          <w:lang w:val="fr-FR"/>
        </w:rPr>
        <w:t>.</w:t>
      </w:r>
    </w:p>
    <w:p w14:paraId="37788A69" w14:textId="77777777" w:rsidR="00593A69" w:rsidRPr="006E2F26" w:rsidRDefault="00593A69" w:rsidP="00340823">
      <w:pPr>
        <w:pStyle w:val="Textebrut"/>
        <w:tabs>
          <w:tab w:val="left" w:pos="1843"/>
        </w:tabs>
        <w:jc w:val="both"/>
        <w:rPr>
          <w:rFonts w:asciiTheme="minorHAnsi" w:hAnsiTheme="minorHAnsi" w:cstheme="minorHAnsi"/>
          <w:sz w:val="24"/>
          <w:szCs w:val="24"/>
          <w:lang w:val="fr-FR"/>
        </w:rPr>
      </w:pPr>
    </w:p>
    <w:p w14:paraId="2662A1F5" w14:textId="77777777" w:rsidR="000124BB" w:rsidRPr="006E2F26" w:rsidRDefault="00AC376E"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A</w:t>
      </w:r>
      <w:r w:rsidR="000124BB" w:rsidRPr="006E2F26">
        <w:rPr>
          <w:rFonts w:asciiTheme="minorHAnsi" w:hAnsiTheme="minorHAnsi" w:cstheme="minorHAnsi"/>
          <w:sz w:val="24"/>
          <w:szCs w:val="24"/>
          <w:lang w:val="fr-FR"/>
        </w:rPr>
        <w:t xml:space="preserve"> titre </w:t>
      </w:r>
      <w:r w:rsidRPr="006E2F26">
        <w:rPr>
          <w:rFonts w:asciiTheme="minorHAnsi" w:hAnsiTheme="minorHAnsi" w:cstheme="minorHAnsi"/>
          <w:sz w:val="24"/>
          <w:szCs w:val="24"/>
          <w:lang w:val="fr-FR"/>
        </w:rPr>
        <w:t>subsidiaire</w:t>
      </w:r>
      <w:r w:rsidR="000124BB" w:rsidRPr="006E2F26">
        <w:rPr>
          <w:rFonts w:asciiTheme="minorHAnsi" w:hAnsiTheme="minorHAnsi" w:cstheme="minorHAnsi"/>
          <w:sz w:val="24"/>
          <w:szCs w:val="24"/>
          <w:lang w:val="fr-FR"/>
        </w:rPr>
        <w:t xml:space="preserve">, </w:t>
      </w:r>
      <w:r w:rsidR="00874407" w:rsidRPr="006E2F26">
        <w:rPr>
          <w:rFonts w:asciiTheme="minorHAnsi" w:hAnsiTheme="minorHAnsi" w:cstheme="minorHAnsi"/>
          <w:sz w:val="24"/>
          <w:szCs w:val="24"/>
          <w:lang w:val="fr-FR"/>
        </w:rPr>
        <w:t>L’A.S.B.L.</w:t>
      </w:r>
      <w:r w:rsidRPr="006E2F26">
        <w:rPr>
          <w:rFonts w:asciiTheme="minorHAnsi" w:hAnsiTheme="minorHAnsi" w:cstheme="minorHAnsi"/>
          <w:sz w:val="24"/>
          <w:szCs w:val="24"/>
          <w:lang w:val="fr-FR"/>
        </w:rPr>
        <w:t xml:space="preserve"> demande au</w:t>
      </w:r>
      <w:r w:rsidR="000124BB" w:rsidRPr="006E2F26">
        <w:rPr>
          <w:rFonts w:asciiTheme="minorHAnsi" w:hAnsiTheme="minorHAnsi" w:cstheme="minorHAnsi"/>
          <w:sz w:val="24"/>
          <w:szCs w:val="24"/>
          <w:lang w:val="fr-FR"/>
        </w:rPr>
        <w:t xml:space="preserve"> Tribunal </w:t>
      </w:r>
      <w:r w:rsidRPr="006E2F26">
        <w:rPr>
          <w:rFonts w:asciiTheme="minorHAnsi" w:hAnsiTheme="minorHAnsi" w:cstheme="minorHAnsi"/>
          <w:sz w:val="24"/>
          <w:szCs w:val="24"/>
          <w:lang w:val="fr-FR"/>
        </w:rPr>
        <w:t>que</w:t>
      </w:r>
      <w:r w:rsidR="000124BB" w:rsidRPr="006E2F26">
        <w:rPr>
          <w:rFonts w:asciiTheme="minorHAnsi" w:hAnsiTheme="minorHAnsi" w:cstheme="minorHAnsi"/>
          <w:sz w:val="24"/>
          <w:szCs w:val="24"/>
          <w:lang w:val="fr-FR"/>
        </w:rPr>
        <w:t xml:space="preserve"> :</w:t>
      </w:r>
    </w:p>
    <w:p w14:paraId="30EBF63E" w14:textId="77777777" w:rsidR="0071069B" w:rsidRPr="006E2F26" w:rsidRDefault="0071069B" w:rsidP="00340823">
      <w:pPr>
        <w:pStyle w:val="Textebrut"/>
        <w:tabs>
          <w:tab w:val="left" w:pos="1843"/>
        </w:tabs>
        <w:jc w:val="both"/>
        <w:rPr>
          <w:rFonts w:asciiTheme="minorHAnsi" w:hAnsiTheme="minorHAnsi" w:cstheme="minorHAnsi"/>
          <w:sz w:val="24"/>
          <w:szCs w:val="24"/>
          <w:lang w:val="fr-FR"/>
        </w:rPr>
      </w:pPr>
    </w:p>
    <w:p w14:paraId="675271E0" w14:textId="77777777" w:rsidR="004F4A2C" w:rsidRPr="006E2F26" w:rsidRDefault="000124BB"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w:t>
      </w:r>
      <w:r w:rsidR="004F4A2C" w:rsidRPr="006E2F26">
        <w:rPr>
          <w:rFonts w:asciiTheme="minorHAnsi" w:hAnsiTheme="minorHAnsi" w:cstheme="minorHAnsi"/>
          <w:sz w:val="24"/>
          <w:szCs w:val="24"/>
          <w:lang w:val="fr-FR"/>
        </w:rPr>
        <w:t xml:space="preserve"> l’indemnité prévue par la Loi du 24/02/1978 soit calculée sur base d’une ancienneté pr</w:t>
      </w:r>
      <w:r w:rsidRPr="006E2F26">
        <w:rPr>
          <w:rFonts w:asciiTheme="minorHAnsi" w:hAnsiTheme="minorHAnsi" w:cstheme="minorHAnsi"/>
          <w:sz w:val="24"/>
          <w:szCs w:val="24"/>
          <w:lang w:val="fr-FR"/>
        </w:rPr>
        <w:t>enant cours au 01 janvier 2016 ;</w:t>
      </w:r>
    </w:p>
    <w:p w14:paraId="60E797E8" w14:textId="77777777" w:rsidR="004F4A2C" w:rsidRPr="006E2F26" w:rsidRDefault="000124BB"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 </w:t>
      </w:r>
      <w:r w:rsidR="004F4A2C" w:rsidRPr="006E2F26">
        <w:rPr>
          <w:rFonts w:asciiTheme="minorHAnsi" w:hAnsiTheme="minorHAnsi" w:cstheme="minorHAnsi"/>
          <w:sz w:val="24"/>
          <w:szCs w:val="24"/>
          <w:lang w:val="fr-FR"/>
        </w:rPr>
        <w:t>l’indemnité pour licenciement « manifestement déraisonnable » soit limitée au minimum léga</w:t>
      </w:r>
      <w:r w:rsidRPr="006E2F26">
        <w:rPr>
          <w:rFonts w:asciiTheme="minorHAnsi" w:hAnsiTheme="minorHAnsi" w:cstheme="minorHAnsi"/>
          <w:sz w:val="24"/>
          <w:szCs w:val="24"/>
          <w:lang w:val="fr-FR"/>
        </w:rPr>
        <w:t>l de 3 semaines de rémunération</w:t>
      </w:r>
      <w:r w:rsidR="00AC376E" w:rsidRPr="006E2F26">
        <w:rPr>
          <w:rFonts w:asciiTheme="minorHAnsi" w:hAnsiTheme="minorHAnsi" w:cstheme="minorHAnsi"/>
          <w:sz w:val="24"/>
          <w:szCs w:val="24"/>
          <w:lang w:val="fr-FR"/>
        </w:rPr>
        <w:t>.</w:t>
      </w:r>
    </w:p>
    <w:p w14:paraId="2FBB90F3" w14:textId="77777777" w:rsidR="000124BB" w:rsidRDefault="000124BB" w:rsidP="00340823">
      <w:pPr>
        <w:pStyle w:val="Textebrut"/>
        <w:tabs>
          <w:tab w:val="left" w:pos="1843"/>
        </w:tabs>
        <w:jc w:val="both"/>
        <w:rPr>
          <w:rFonts w:asciiTheme="minorHAnsi" w:hAnsiTheme="minorHAnsi" w:cstheme="minorHAnsi"/>
          <w:sz w:val="24"/>
          <w:szCs w:val="24"/>
          <w:lang w:val="fr-FR"/>
        </w:rPr>
      </w:pPr>
    </w:p>
    <w:p w14:paraId="49B482CF" w14:textId="77777777" w:rsidR="000124BB" w:rsidRPr="006E2F26" w:rsidRDefault="00874407"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L’A.S.B.L.</w:t>
      </w:r>
      <w:r w:rsidR="000124BB" w:rsidRPr="006E2F26">
        <w:rPr>
          <w:rFonts w:asciiTheme="minorHAnsi" w:hAnsiTheme="minorHAnsi" w:cstheme="minorHAnsi"/>
          <w:sz w:val="24"/>
          <w:szCs w:val="24"/>
          <w:lang w:val="fr-FR"/>
        </w:rPr>
        <w:t xml:space="preserve"> demande </w:t>
      </w:r>
      <w:r w:rsidR="00AC376E" w:rsidRPr="006E2F26">
        <w:rPr>
          <w:rFonts w:asciiTheme="minorHAnsi" w:hAnsiTheme="minorHAnsi" w:cstheme="minorHAnsi"/>
          <w:sz w:val="24"/>
          <w:szCs w:val="24"/>
          <w:lang w:val="fr-FR"/>
        </w:rPr>
        <w:t xml:space="preserve">également </w:t>
      </w:r>
      <w:r w:rsidR="000124BB" w:rsidRPr="006E2F26">
        <w:rPr>
          <w:rFonts w:asciiTheme="minorHAnsi" w:hAnsiTheme="minorHAnsi" w:cstheme="minorHAnsi"/>
          <w:sz w:val="24"/>
          <w:szCs w:val="24"/>
          <w:lang w:val="fr-FR"/>
        </w:rPr>
        <w:t>au Tribunal de :</w:t>
      </w:r>
    </w:p>
    <w:p w14:paraId="2D0B1272" w14:textId="77777777" w:rsidR="0071069B" w:rsidRPr="006E2F26" w:rsidRDefault="0071069B" w:rsidP="00340823">
      <w:pPr>
        <w:pStyle w:val="Textebrut"/>
        <w:tabs>
          <w:tab w:val="left" w:pos="1843"/>
        </w:tabs>
        <w:jc w:val="both"/>
        <w:rPr>
          <w:rFonts w:asciiTheme="minorHAnsi" w:hAnsiTheme="minorHAnsi" w:cstheme="minorHAnsi"/>
          <w:sz w:val="24"/>
          <w:szCs w:val="24"/>
          <w:lang w:val="fr-FR"/>
        </w:rPr>
      </w:pPr>
    </w:p>
    <w:p w14:paraId="1CCF71B0" w14:textId="3B9C8CB0" w:rsidR="004F4A2C" w:rsidRPr="006E2F26" w:rsidRDefault="000124BB"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c</w:t>
      </w:r>
      <w:r w:rsidR="004F4A2C" w:rsidRPr="006E2F26">
        <w:rPr>
          <w:rFonts w:asciiTheme="minorHAnsi" w:hAnsiTheme="minorHAnsi" w:cstheme="minorHAnsi"/>
          <w:sz w:val="24"/>
          <w:szCs w:val="24"/>
          <w:lang w:val="fr-FR"/>
        </w:rPr>
        <w:t xml:space="preserve">ondamner </w:t>
      </w:r>
      <w:r w:rsidR="008C7B4A" w:rsidRPr="006E2F26">
        <w:rPr>
          <w:rFonts w:asciiTheme="minorHAnsi" w:hAnsiTheme="minorHAnsi" w:cstheme="minorHAnsi"/>
          <w:sz w:val="24"/>
          <w:szCs w:val="24"/>
          <w:lang w:val="fr-FR"/>
        </w:rPr>
        <w:t>M.</w:t>
      </w:r>
      <w:r w:rsidR="004F4A2C" w:rsidRPr="006E2F26">
        <w:rPr>
          <w:rFonts w:asciiTheme="minorHAnsi" w:hAnsiTheme="minorHAnsi" w:cstheme="minorHAnsi"/>
          <w:sz w:val="24"/>
          <w:szCs w:val="24"/>
          <w:lang w:val="fr-FR"/>
        </w:rPr>
        <w:t xml:space="preserve"> </w:t>
      </w:r>
      <w:r w:rsidR="00961229">
        <w:rPr>
          <w:rFonts w:asciiTheme="minorHAnsi" w:hAnsiTheme="minorHAnsi" w:cstheme="minorHAnsi"/>
          <w:sz w:val="24"/>
          <w:szCs w:val="24"/>
          <w:lang w:val="fr-FR"/>
        </w:rPr>
        <w:t>M</w:t>
      </w:r>
      <w:r w:rsidR="004F4A2C" w:rsidRPr="006E2F26">
        <w:rPr>
          <w:rFonts w:asciiTheme="minorHAnsi" w:hAnsiTheme="minorHAnsi" w:cstheme="minorHAnsi"/>
          <w:sz w:val="24"/>
          <w:szCs w:val="24"/>
          <w:lang w:val="fr-FR"/>
        </w:rPr>
        <w:t xml:space="preserve"> aux entiers frais et dépens de l’instance, en ce c</w:t>
      </w:r>
      <w:r w:rsidR="00AC376E" w:rsidRPr="006E2F26">
        <w:rPr>
          <w:rFonts w:asciiTheme="minorHAnsi" w:hAnsiTheme="minorHAnsi" w:cstheme="minorHAnsi"/>
          <w:sz w:val="24"/>
          <w:szCs w:val="24"/>
          <w:lang w:val="fr-FR"/>
        </w:rPr>
        <w:t xml:space="preserve">ompris l’indemnité de procédure </w:t>
      </w:r>
      <w:r w:rsidRPr="006E2F26">
        <w:rPr>
          <w:rFonts w:asciiTheme="minorHAnsi" w:hAnsiTheme="minorHAnsi" w:cstheme="minorHAnsi"/>
          <w:sz w:val="24"/>
          <w:szCs w:val="24"/>
          <w:lang w:val="fr-FR"/>
        </w:rPr>
        <w:t xml:space="preserve">liquidée </w:t>
      </w:r>
      <w:r w:rsidR="00AC376E" w:rsidRPr="006E2F26">
        <w:rPr>
          <w:rFonts w:asciiTheme="minorHAnsi" w:hAnsiTheme="minorHAnsi" w:cstheme="minorHAnsi"/>
          <w:sz w:val="24"/>
          <w:szCs w:val="24"/>
          <w:lang w:val="fr-FR"/>
        </w:rPr>
        <w:t xml:space="preserve">à la somme de </w:t>
      </w:r>
      <w:r w:rsidR="004F4A2C" w:rsidRPr="006E2F26">
        <w:rPr>
          <w:rFonts w:asciiTheme="minorHAnsi" w:hAnsiTheme="minorHAnsi" w:cstheme="minorHAnsi"/>
          <w:sz w:val="24"/>
          <w:szCs w:val="24"/>
          <w:lang w:val="fr-FR"/>
        </w:rPr>
        <w:t>3.900,00 €</w:t>
      </w:r>
      <w:r w:rsidR="00AC376E" w:rsidRPr="006E2F26">
        <w:rPr>
          <w:rFonts w:asciiTheme="minorHAnsi" w:hAnsiTheme="minorHAnsi" w:cstheme="minorHAnsi"/>
          <w:sz w:val="24"/>
          <w:szCs w:val="24"/>
          <w:lang w:val="fr-FR"/>
        </w:rPr>
        <w:t> ;</w:t>
      </w:r>
    </w:p>
    <w:p w14:paraId="5D493158" w14:textId="77777777" w:rsidR="0071069B" w:rsidRPr="006E2F26" w:rsidRDefault="0071069B" w:rsidP="00340823">
      <w:pPr>
        <w:pStyle w:val="Textebrut"/>
        <w:tabs>
          <w:tab w:val="left" w:pos="1843"/>
        </w:tabs>
        <w:jc w:val="both"/>
        <w:rPr>
          <w:rFonts w:asciiTheme="minorHAnsi" w:hAnsiTheme="minorHAnsi" w:cstheme="minorHAnsi"/>
          <w:sz w:val="24"/>
          <w:szCs w:val="24"/>
          <w:lang w:val="fr-FR"/>
        </w:rPr>
      </w:pPr>
    </w:p>
    <w:p w14:paraId="5BF6F6F3" w14:textId="77777777" w:rsidR="004F4A2C" w:rsidRPr="006E2F26" w:rsidRDefault="000124BB"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 </w:t>
      </w:r>
      <w:r w:rsidR="006E2F26">
        <w:rPr>
          <w:rFonts w:asciiTheme="minorHAnsi" w:hAnsiTheme="minorHAnsi" w:cstheme="minorHAnsi"/>
          <w:sz w:val="24"/>
          <w:szCs w:val="24"/>
          <w:lang w:val="fr-FR"/>
        </w:rPr>
        <w:t xml:space="preserve"> </w:t>
      </w:r>
      <w:r w:rsidRPr="006E2F26">
        <w:rPr>
          <w:rFonts w:asciiTheme="minorHAnsi" w:hAnsiTheme="minorHAnsi" w:cstheme="minorHAnsi"/>
          <w:sz w:val="24"/>
          <w:szCs w:val="24"/>
          <w:lang w:val="fr-FR"/>
        </w:rPr>
        <w:t>d</w:t>
      </w:r>
      <w:r w:rsidR="004F4A2C" w:rsidRPr="006E2F26">
        <w:rPr>
          <w:rFonts w:asciiTheme="minorHAnsi" w:hAnsiTheme="minorHAnsi" w:cstheme="minorHAnsi"/>
          <w:sz w:val="24"/>
          <w:szCs w:val="24"/>
          <w:lang w:val="fr-FR"/>
        </w:rPr>
        <w:t>ire le jugement à intervenir exécutoire par provision, nonobstant tout recours et sans caution et nonobstant tout offre de dépôt, cantonnement et/ou consignation</w:t>
      </w:r>
      <w:r w:rsidRPr="006E2F26">
        <w:rPr>
          <w:rFonts w:asciiTheme="minorHAnsi" w:hAnsiTheme="minorHAnsi" w:cstheme="minorHAnsi"/>
          <w:sz w:val="24"/>
          <w:szCs w:val="24"/>
          <w:lang w:val="fr-FR"/>
        </w:rPr>
        <w:t>.</w:t>
      </w:r>
    </w:p>
    <w:p w14:paraId="2C6CBD64" w14:textId="77777777" w:rsidR="0071069B" w:rsidRPr="006E2F26" w:rsidRDefault="0071069B" w:rsidP="00340823">
      <w:pPr>
        <w:pStyle w:val="Textebrut"/>
        <w:tabs>
          <w:tab w:val="left" w:pos="1843"/>
        </w:tabs>
        <w:jc w:val="both"/>
        <w:rPr>
          <w:rFonts w:asciiTheme="minorHAnsi" w:hAnsiTheme="minorHAnsi" w:cstheme="minorHAnsi"/>
          <w:b/>
          <w:sz w:val="24"/>
          <w:szCs w:val="24"/>
          <w:u w:val="single"/>
          <w:lang w:val="fr-FR"/>
        </w:rPr>
      </w:pPr>
    </w:p>
    <w:p w14:paraId="62AA7B7E" w14:textId="77777777" w:rsidR="00A57B8B" w:rsidRPr="006E2F26" w:rsidRDefault="00A57B8B" w:rsidP="00340823">
      <w:pPr>
        <w:pStyle w:val="Textebrut"/>
        <w:tabs>
          <w:tab w:val="left" w:pos="1843"/>
        </w:tabs>
        <w:jc w:val="both"/>
        <w:rPr>
          <w:rFonts w:asciiTheme="minorHAnsi" w:hAnsiTheme="minorHAnsi" w:cstheme="minorHAnsi"/>
          <w:b/>
          <w:sz w:val="24"/>
          <w:szCs w:val="24"/>
          <w:u w:val="single"/>
          <w:lang w:val="fr-FR"/>
        </w:rPr>
      </w:pPr>
    </w:p>
    <w:p w14:paraId="41508CA1" w14:textId="77777777" w:rsidR="000A488D" w:rsidRPr="006E2F26" w:rsidRDefault="000A488D" w:rsidP="00340823">
      <w:pPr>
        <w:pStyle w:val="Textebrut"/>
        <w:numPr>
          <w:ilvl w:val="0"/>
          <w:numId w:val="8"/>
        </w:numPr>
        <w:tabs>
          <w:tab w:val="left" w:pos="1843"/>
        </w:tabs>
        <w:jc w:val="both"/>
        <w:rPr>
          <w:rFonts w:asciiTheme="minorHAnsi" w:hAnsiTheme="minorHAnsi" w:cstheme="minorHAnsi"/>
          <w:b/>
          <w:sz w:val="24"/>
          <w:szCs w:val="24"/>
          <w:u w:val="single"/>
          <w:lang w:val="fr-FR"/>
        </w:rPr>
      </w:pPr>
      <w:r w:rsidRPr="006E2F26">
        <w:rPr>
          <w:rFonts w:asciiTheme="minorHAnsi" w:hAnsiTheme="minorHAnsi" w:cstheme="minorHAnsi"/>
          <w:b/>
          <w:sz w:val="24"/>
          <w:szCs w:val="24"/>
          <w:u w:val="single"/>
          <w:lang w:val="fr-FR"/>
        </w:rPr>
        <w:t>RECEVABILITE</w:t>
      </w:r>
    </w:p>
    <w:p w14:paraId="4A2FDFFE" w14:textId="77777777" w:rsidR="000A488D" w:rsidRPr="006E2F26" w:rsidRDefault="000A488D" w:rsidP="00340823">
      <w:pPr>
        <w:widowControl/>
        <w:tabs>
          <w:tab w:val="left" w:pos="-720"/>
        </w:tabs>
        <w:jc w:val="both"/>
        <w:rPr>
          <w:rFonts w:asciiTheme="minorHAnsi" w:eastAsia="Times New Roman" w:hAnsiTheme="minorHAnsi" w:cstheme="minorHAnsi"/>
          <w:spacing w:val="-2"/>
          <w:kern w:val="0"/>
          <w:lang w:val="fr-FR" w:eastAsia="en-US"/>
        </w:rPr>
      </w:pPr>
    </w:p>
    <w:p w14:paraId="29B0F582" w14:textId="21B5D2FE" w:rsidR="0023498F" w:rsidRPr="006E2F26" w:rsidRDefault="0023498F" w:rsidP="00340823">
      <w:pPr>
        <w:pStyle w:val="Textebrut"/>
        <w:tabs>
          <w:tab w:val="left" w:pos="1843"/>
        </w:tabs>
        <w:jc w:val="both"/>
        <w:rPr>
          <w:rFonts w:asciiTheme="minorHAnsi" w:eastAsia="Times New Roman" w:hAnsiTheme="minorHAnsi" w:cstheme="minorHAnsi"/>
          <w:spacing w:val="-2"/>
          <w:kern w:val="0"/>
          <w:sz w:val="24"/>
          <w:szCs w:val="24"/>
          <w:lang w:val="fr-FR" w:eastAsia="en-US"/>
        </w:rPr>
      </w:pPr>
      <w:r w:rsidRPr="006E2F26">
        <w:rPr>
          <w:rFonts w:asciiTheme="minorHAnsi" w:eastAsia="Times New Roman" w:hAnsiTheme="minorHAnsi" w:cstheme="minorHAnsi"/>
          <w:spacing w:val="-2"/>
          <w:kern w:val="0"/>
          <w:sz w:val="24"/>
          <w:szCs w:val="24"/>
          <w:lang w:val="fr-FR" w:eastAsia="en-US"/>
        </w:rPr>
        <w:t>Le recours est recevable pour avoir été int</w:t>
      </w:r>
      <w:r w:rsidR="004F4A2C" w:rsidRPr="006E2F26">
        <w:rPr>
          <w:rFonts w:asciiTheme="minorHAnsi" w:eastAsia="Times New Roman" w:hAnsiTheme="minorHAnsi" w:cstheme="minorHAnsi"/>
          <w:spacing w:val="-2"/>
          <w:kern w:val="0"/>
          <w:sz w:val="24"/>
          <w:szCs w:val="24"/>
          <w:lang w:val="fr-FR" w:eastAsia="en-US"/>
        </w:rPr>
        <w:t>roduit dans les formes et délai</w:t>
      </w:r>
      <w:r w:rsidR="00F74016" w:rsidRPr="006E2F26">
        <w:rPr>
          <w:rFonts w:asciiTheme="minorHAnsi" w:eastAsia="Times New Roman" w:hAnsiTheme="minorHAnsi" w:cstheme="minorHAnsi"/>
          <w:spacing w:val="-2"/>
          <w:kern w:val="0"/>
          <w:sz w:val="24"/>
          <w:szCs w:val="24"/>
          <w:lang w:val="fr-FR" w:eastAsia="en-US"/>
        </w:rPr>
        <w:t>s</w:t>
      </w:r>
      <w:r w:rsidRPr="006E2F26">
        <w:rPr>
          <w:rFonts w:asciiTheme="minorHAnsi" w:eastAsia="Times New Roman" w:hAnsiTheme="minorHAnsi" w:cstheme="minorHAnsi"/>
          <w:spacing w:val="-2"/>
          <w:kern w:val="0"/>
          <w:sz w:val="24"/>
          <w:szCs w:val="24"/>
          <w:lang w:val="fr-FR" w:eastAsia="en-US"/>
        </w:rPr>
        <w:t xml:space="preserve"> légaux. </w:t>
      </w:r>
      <w:r w:rsidR="008C7B4A" w:rsidRPr="006E2F26">
        <w:rPr>
          <w:rFonts w:asciiTheme="minorHAnsi" w:eastAsia="Times New Roman" w:hAnsiTheme="minorHAnsi" w:cstheme="minorHAnsi"/>
          <w:spacing w:val="-2"/>
          <w:kern w:val="0"/>
          <w:sz w:val="24"/>
          <w:szCs w:val="24"/>
          <w:lang w:val="fr-FR" w:eastAsia="en-US"/>
        </w:rPr>
        <w:t>M.</w:t>
      </w:r>
      <w:r w:rsidRPr="006E2F26">
        <w:rPr>
          <w:rFonts w:asciiTheme="minorHAnsi" w:eastAsia="Times New Roman" w:hAnsiTheme="minorHAnsi" w:cstheme="minorHAnsi"/>
          <w:spacing w:val="-2"/>
          <w:kern w:val="0"/>
          <w:sz w:val="24"/>
          <w:szCs w:val="24"/>
          <w:lang w:val="fr-FR" w:eastAsia="en-US"/>
        </w:rPr>
        <w:t xml:space="preserve"> </w:t>
      </w:r>
      <w:r w:rsidR="00961229">
        <w:rPr>
          <w:rFonts w:asciiTheme="minorHAnsi" w:eastAsia="Times New Roman" w:hAnsiTheme="minorHAnsi" w:cstheme="minorHAnsi"/>
          <w:spacing w:val="-2"/>
          <w:kern w:val="0"/>
          <w:sz w:val="24"/>
          <w:szCs w:val="24"/>
          <w:lang w:val="fr-FR" w:eastAsia="en-US"/>
        </w:rPr>
        <w:t>M</w:t>
      </w:r>
      <w:r w:rsidR="004F4A2C" w:rsidRPr="006E2F26">
        <w:rPr>
          <w:rFonts w:asciiTheme="minorHAnsi" w:eastAsia="Times New Roman" w:hAnsiTheme="minorHAnsi" w:cstheme="minorHAnsi"/>
          <w:spacing w:val="-2"/>
          <w:kern w:val="0"/>
          <w:sz w:val="24"/>
          <w:szCs w:val="24"/>
          <w:lang w:val="fr-FR" w:eastAsia="en-US"/>
        </w:rPr>
        <w:t xml:space="preserve"> </w:t>
      </w:r>
      <w:r w:rsidRPr="006E2F26">
        <w:rPr>
          <w:rFonts w:asciiTheme="minorHAnsi" w:eastAsia="Times New Roman" w:hAnsiTheme="minorHAnsi" w:cstheme="minorHAnsi"/>
          <w:spacing w:val="-2"/>
          <w:kern w:val="0"/>
          <w:sz w:val="24"/>
          <w:szCs w:val="24"/>
          <w:lang w:val="fr-FR" w:eastAsia="en-US"/>
        </w:rPr>
        <w:t>a par ailleurs intérêt et qualité pour agir en justice. Aucun moyen d’irrecevabilité n’a été soulevé et ne semble devoir être soulevé d’office.</w:t>
      </w:r>
    </w:p>
    <w:p w14:paraId="04C734BA" w14:textId="77777777" w:rsidR="0023498F" w:rsidRPr="006E2F26" w:rsidRDefault="0023498F" w:rsidP="00340823">
      <w:pPr>
        <w:pStyle w:val="Textebrut"/>
        <w:tabs>
          <w:tab w:val="left" w:pos="1843"/>
        </w:tabs>
        <w:jc w:val="both"/>
        <w:rPr>
          <w:rFonts w:asciiTheme="minorHAnsi" w:eastAsia="Times New Roman" w:hAnsiTheme="minorHAnsi" w:cstheme="minorHAnsi"/>
          <w:spacing w:val="-2"/>
          <w:kern w:val="0"/>
          <w:sz w:val="24"/>
          <w:szCs w:val="24"/>
          <w:lang w:val="fr-FR" w:eastAsia="en-US"/>
        </w:rPr>
      </w:pPr>
    </w:p>
    <w:p w14:paraId="693E7565" w14:textId="77777777" w:rsidR="00A57B8B" w:rsidRPr="006E2F26" w:rsidRDefault="00A57B8B" w:rsidP="00340823">
      <w:pPr>
        <w:pStyle w:val="Textebrut"/>
        <w:tabs>
          <w:tab w:val="left" w:pos="1843"/>
        </w:tabs>
        <w:jc w:val="both"/>
        <w:rPr>
          <w:rFonts w:asciiTheme="minorHAnsi" w:eastAsia="Times New Roman" w:hAnsiTheme="minorHAnsi" w:cstheme="minorHAnsi"/>
          <w:spacing w:val="-2"/>
          <w:kern w:val="0"/>
          <w:sz w:val="24"/>
          <w:szCs w:val="24"/>
          <w:lang w:val="fr-FR" w:eastAsia="en-US"/>
        </w:rPr>
      </w:pPr>
    </w:p>
    <w:p w14:paraId="1C2A9BE1" w14:textId="77777777" w:rsidR="000A488D" w:rsidRPr="006E2F26" w:rsidRDefault="0023498F" w:rsidP="00340823">
      <w:pPr>
        <w:pStyle w:val="Textebrut"/>
        <w:numPr>
          <w:ilvl w:val="0"/>
          <w:numId w:val="8"/>
        </w:numPr>
        <w:tabs>
          <w:tab w:val="left" w:pos="1843"/>
        </w:tabs>
        <w:jc w:val="both"/>
        <w:rPr>
          <w:rFonts w:asciiTheme="minorHAnsi" w:eastAsia="Times New Roman" w:hAnsiTheme="minorHAnsi" w:cstheme="minorHAnsi"/>
          <w:b/>
          <w:spacing w:val="-2"/>
          <w:kern w:val="0"/>
          <w:sz w:val="24"/>
          <w:szCs w:val="24"/>
          <w:u w:val="single"/>
          <w:lang w:val="fr-FR" w:eastAsia="en-US"/>
        </w:rPr>
      </w:pPr>
      <w:r w:rsidRPr="006E2F26">
        <w:rPr>
          <w:rFonts w:asciiTheme="minorHAnsi" w:eastAsia="Times New Roman" w:hAnsiTheme="minorHAnsi" w:cstheme="minorHAnsi"/>
          <w:b/>
          <w:spacing w:val="-2"/>
          <w:kern w:val="0"/>
          <w:sz w:val="24"/>
          <w:szCs w:val="24"/>
          <w:u w:val="single"/>
          <w:lang w:val="fr-FR" w:eastAsia="en-US"/>
        </w:rPr>
        <w:t>ANALYSE DU TRIBUNAL</w:t>
      </w:r>
    </w:p>
    <w:p w14:paraId="29AAC7B4" w14:textId="77777777" w:rsidR="000C7867" w:rsidRPr="006E2F26" w:rsidRDefault="000C7867" w:rsidP="00340823">
      <w:pPr>
        <w:pStyle w:val="Textebrut"/>
        <w:tabs>
          <w:tab w:val="left" w:pos="1843"/>
        </w:tabs>
        <w:ind w:left="360"/>
        <w:jc w:val="both"/>
        <w:rPr>
          <w:rFonts w:asciiTheme="minorHAnsi" w:eastAsia="Times New Roman" w:hAnsiTheme="minorHAnsi" w:cstheme="minorHAnsi"/>
          <w:b/>
          <w:spacing w:val="-2"/>
          <w:kern w:val="0"/>
          <w:sz w:val="24"/>
          <w:szCs w:val="24"/>
          <w:u w:val="single"/>
          <w:lang w:val="fr-FR" w:eastAsia="en-US"/>
        </w:rPr>
      </w:pPr>
    </w:p>
    <w:p w14:paraId="17BC0A60" w14:textId="77777777" w:rsidR="00DB749D" w:rsidRPr="006E2F26" w:rsidRDefault="00DB749D" w:rsidP="00340823">
      <w:pPr>
        <w:pStyle w:val="Textebrut"/>
        <w:numPr>
          <w:ilvl w:val="1"/>
          <w:numId w:val="8"/>
        </w:numPr>
        <w:tabs>
          <w:tab w:val="left" w:pos="1843"/>
        </w:tabs>
        <w:jc w:val="both"/>
        <w:rPr>
          <w:rFonts w:asciiTheme="minorHAnsi" w:hAnsiTheme="minorHAnsi" w:cstheme="minorHAnsi"/>
          <w:b/>
          <w:sz w:val="24"/>
          <w:szCs w:val="24"/>
          <w:u w:val="single"/>
          <w:lang w:val="fr-FR"/>
        </w:rPr>
      </w:pPr>
      <w:r w:rsidRPr="006E2F26">
        <w:rPr>
          <w:rFonts w:asciiTheme="minorHAnsi" w:hAnsiTheme="minorHAnsi" w:cstheme="minorHAnsi"/>
          <w:b/>
          <w:sz w:val="24"/>
          <w:szCs w:val="24"/>
          <w:u w:val="single"/>
          <w:lang w:val="fr-FR"/>
        </w:rPr>
        <w:t>Indemnité de rupture</w:t>
      </w:r>
    </w:p>
    <w:p w14:paraId="23E6D161" w14:textId="77777777" w:rsidR="000C7867" w:rsidRPr="006E2F26" w:rsidRDefault="000C7867" w:rsidP="00340823">
      <w:pPr>
        <w:pStyle w:val="Textebrut"/>
        <w:tabs>
          <w:tab w:val="left" w:pos="1843"/>
        </w:tabs>
        <w:jc w:val="both"/>
        <w:rPr>
          <w:rFonts w:asciiTheme="minorHAnsi" w:hAnsiTheme="minorHAnsi" w:cstheme="minorHAnsi"/>
          <w:sz w:val="24"/>
          <w:szCs w:val="24"/>
          <w:u w:val="single"/>
          <w:lang w:val="fr-FR"/>
        </w:rPr>
      </w:pPr>
    </w:p>
    <w:p w14:paraId="68FB3B2C" w14:textId="77777777" w:rsidR="00DB749D" w:rsidRPr="006E2F26" w:rsidRDefault="00DB749D" w:rsidP="00340823">
      <w:pPr>
        <w:pStyle w:val="Textebrut"/>
        <w:numPr>
          <w:ilvl w:val="2"/>
          <w:numId w:val="8"/>
        </w:numPr>
        <w:tabs>
          <w:tab w:val="left" w:pos="1843"/>
        </w:tabs>
        <w:jc w:val="both"/>
        <w:rPr>
          <w:rFonts w:asciiTheme="minorHAnsi" w:hAnsiTheme="minorHAnsi" w:cstheme="minorHAnsi"/>
          <w:sz w:val="24"/>
          <w:szCs w:val="24"/>
          <w:u w:val="single"/>
          <w:lang w:val="fr-FR"/>
        </w:rPr>
      </w:pPr>
      <w:r w:rsidRPr="006E2F26">
        <w:rPr>
          <w:rFonts w:asciiTheme="minorHAnsi" w:hAnsiTheme="minorHAnsi" w:cstheme="minorHAnsi"/>
          <w:sz w:val="24"/>
          <w:szCs w:val="24"/>
          <w:u w:val="single"/>
          <w:lang w:val="fr-FR"/>
        </w:rPr>
        <w:t xml:space="preserve">Indemnité de rupture </w:t>
      </w:r>
      <w:r w:rsidR="004916EE" w:rsidRPr="006E2F26">
        <w:rPr>
          <w:rFonts w:asciiTheme="minorHAnsi" w:hAnsiTheme="minorHAnsi" w:cstheme="minorHAnsi"/>
          <w:sz w:val="24"/>
          <w:szCs w:val="24"/>
          <w:u w:val="single"/>
          <w:lang w:val="fr-FR"/>
        </w:rPr>
        <w:t xml:space="preserve">réclamée en application de la </w:t>
      </w:r>
      <w:r w:rsidRPr="006E2F26">
        <w:rPr>
          <w:rFonts w:asciiTheme="minorHAnsi" w:hAnsiTheme="minorHAnsi" w:cstheme="minorHAnsi"/>
          <w:sz w:val="24"/>
          <w:szCs w:val="24"/>
          <w:u w:val="single"/>
          <w:lang w:val="fr-FR"/>
        </w:rPr>
        <w:t>loi du 24 février 1978 relative au  contrat de travail du sportif rémunéré</w:t>
      </w:r>
    </w:p>
    <w:p w14:paraId="0919E506" w14:textId="77777777" w:rsidR="00D817E3" w:rsidRPr="006E2F26" w:rsidRDefault="00D817E3" w:rsidP="00340823">
      <w:pPr>
        <w:pStyle w:val="Textebrut"/>
        <w:tabs>
          <w:tab w:val="left" w:pos="1843"/>
        </w:tabs>
        <w:jc w:val="both"/>
        <w:rPr>
          <w:rFonts w:asciiTheme="minorHAnsi" w:hAnsiTheme="minorHAnsi" w:cstheme="minorHAnsi"/>
          <w:sz w:val="24"/>
          <w:szCs w:val="24"/>
          <w:lang w:val="fr-FR"/>
        </w:rPr>
      </w:pPr>
    </w:p>
    <w:p w14:paraId="4173C915" w14:textId="67AE8C8A" w:rsidR="009F02A0" w:rsidRPr="006E2F26" w:rsidRDefault="004745F3"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A titre principal, </w:t>
      </w:r>
      <w:r w:rsidR="008C7B4A" w:rsidRPr="006E2F26">
        <w:rPr>
          <w:rFonts w:asciiTheme="minorHAnsi" w:hAnsiTheme="minorHAnsi" w:cstheme="minorHAnsi"/>
          <w:sz w:val="24"/>
          <w:szCs w:val="24"/>
          <w:lang w:val="fr-FR"/>
        </w:rPr>
        <w:t>M.</w:t>
      </w:r>
      <w:r w:rsidR="009F02A0" w:rsidRPr="006E2F26">
        <w:rPr>
          <w:rFonts w:asciiTheme="minorHAnsi" w:hAnsiTheme="minorHAnsi" w:cstheme="minorHAnsi"/>
          <w:sz w:val="24"/>
          <w:szCs w:val="24"/>
          <w:lang w:val="fr-FR"/>
        </w:rPr>
        <w:t xml:space="preserve"> </w:t>
      </w:r>
      <w:r w:rsidR="00961229">
        <w:rPr>
          <w:rFonts w:asciiTheme="minorHAnsi" w:hAnsiTheme="minorHAnsi" w:cstheme="minorHAnsi"/>
          <w:sz w:val="24"/>
          <w:szCs w:val="24"/>
          <w:lang w:val="fr-FR"/>
        </w:rPr>
        <w:t>M</w:t>
      </w:r>
      <w:r w:rsidR="009F02A0" w:rsidRPr="006E2F26">
        <w:rPr>
          <w:rFonts w:asciiTheme="minorHAnsi" w:hAnsiTheme="minorHAnsi" w:cstheme="minorHAnsi"/>
          <w:sz w:val="24"/>
          <w:szCs w:val="24"/>
          <w:lang w:val="fr-FR"/>
        </w:rPr>
        <w:t xml:space="preserve"> </w:t>
      </w:r>
      <w:r w:rsidR="007010F7" w:rsidRPr="006E2F26">
        <w:rPr>
          <w:rFonts w:asciiTheme="minorHAnsi" w:hAnsiTheme="minorHAnsi" w:cstheme="minorHAnsi"/>
          <w:sz w:val="24"/>
          <w:szCs w:val="24"/>
          <w:lang w:val="fr-FR"/>
        </w:rPr>
        <w:t xml:space="preserve">réclame une indemnité de rupture en </w:t>
      </w:r>
      <w:r w:rsidR="009F02A0" w:rsidRPr="006E2F26">
        <w:rPr>
          <w:rFonts w:asciiTheme="minorHAnsi" w:hAnsiTheme="minorHAnsi" w:cstheme="minorHAnsi"/>
          <w:sz w:val="24"/>
          <w:szCs w:val="24"/>
          <w:lang w:val="fr-FR"/>
        </w:rPr>
        <w:t xml:space="preserve">application de la loi du 24 février 1978 applicable aux sportifs rémunérés et étendues à certains entraîneurs sportifs. </w:t>
      </w:r>
      <w:r w:rsidR="007010F7" w:rsidRPr="006E2F26">
        <w:rPr>
          <w:rFonts w:asciiTheme="minorHAnsi" w:hAnsiTheme="minorHAnsi" w:cstheme="minorHAnsi"/>
          <w:sz w:val="24"/>
          <w:szCs w:val="24"/>
          <w:lang w:val="fr-FR"/>
        </w:rPr>
        <w:t xml:space="preserve">Il estime pouvoir bénéficier de l’application de cette loi qui prévoit, notamment, </w:t>
      </w:r>
      <w:r w:rsidR="009F02A0" w:rsidRPr="006E2F26">
        <w:rPr>
          <w:rFonts w:asciiTheme="minorHAnsi" w:hAnsiTheme="minorHAnsi" w:cstheme="minorHAnsi"/>
          <w:sz w:val="24"/>
          <w:szCs w:val="24"/>
          <w:lang w:val="fr-FR"/>
        </w:rPr>
        <w:t>une présomption de contrat de travail d’employé et le fait que la rupture du contrat n’est permise que par l’octroi d’une indemnité dont les modalités de calcul sont fixées par arrêté royal.</w:t>
      </w:r>
    </w:p>
    <w:p w14:paraId="11F6036C" w14:textId="77777777" w:rsidR="009F02A0" w:rsidRPr="006E2F26" w:rsidRDefault="009F02A0" w:rsidP="00340823">
      <w:pPr>
        <w:pStyle w:val="Textebrut"/>
        <w:tabs>
          <w:tab w:val="left" w:pos="1843"/>
        </w:tabs>
        <w:jc w:val="both"/>
        <w:rPr>
          <w:rFonts w:asciiTheme="minorHAnsi" w:hAnsiTheme="minorHAnsi" w:cstheme="minorHAnsi"/>
          <w:sz w:val="24"/>
          <w:szCs w:val="24"/>
          <w:lang w:val="fr-FR"/>
        </w:rPr>
      </w:pPr>
    </w:p>
    <w:p w14:paraId="25EE0314" w14:textId="77777777" w:rsidR="00AD763F" w:rsidRPr="006E2F26" w:rsidRDefault="004963D4" w:rsidP="00340823">
      <w:pPr>
        <w:pStyle w:val="Textebrut"/>
        <w:tabs>
          <w:tab w:val="left" w:pos="1843"/>
        </w:tabs>
        <w:jc w:val="both"/>
        <w:rPr>
          <w:rFonts w:asciiTheme="minorHAnsi" w:hAnsiTheme="minorHAnsi" w:cstheme="minorHAnsi"/>
          <w:b/>
          <w:sz w:val="24"/>
          <w:szCs w:val="24"/>
          <w:lang w:val="fr-FR"/>
        </w:rPr>
      </w:pPr>
      <w:r w:rsidRPr="006E2F26">
        <w:rPr>
          <w:rFonts w:asciiTheme="minorHAnsi" w:hAnsiTheme="minorHAnsi" w:cstheme="minorHAnsi"/>
          <w:b/>
          <w:sz w:val="24"/>
          <w:szCs w:val="24"/>
          <w:lang w:val="fr-FR"/>
        </w:rPr>
        <w:t>Qui sont les</w:t>
      </w:r>
      <w:r w:rsidR="00AD763F" w:rsidRPr="006E2F26">
        <w:rPr>
          <w:rFonts w:asciiTheme="minorHAnsi" w:hAnsiTheme="minorHAnsi" w:cstheme="minorHAnsi"/>
          <w:b/>
          <w:sz w:val="24"/>
          <w:szCs w:val="24"/>
          <w:lang w:val="fr-FR"/>
        </w:rPr>
        <w:t xml:space="preserve"> </w:t>
      </w:r>
      <w:r w:rsidRPr="006E2F26">
        <w:rPr>
          <w:rFonts w:asciiTheme="minorHAnsi" w:hAnsiTheme="minorHAnsi" w:cstheme="minorHAnsi"/>
          <w:b/>
          <w:sz w:val="24"/>
          <w:szCs w:val="24"/>
          <w:lang w:val="fr-FR"/>
        </w:rPr>
        <w:t>« </w:t>
      </w:r>
      <w:r w:rsidR="00AD763F" w:rsidRPr="006E2F26">
        <w:rPr>
          <w:rFonts w:asciiTheme="minorHAnsi" w:hAnsiTheme="minorHAnsi" w:cstheme="minorHAnsi"/>
          <w:b/>
          <w:sz w:val="24"/>
          <w:szCs w:val="24"/>
          <w:lang w:val="fr-FR"/>
        </w:rPr>
        <w:t>sportifs rémunérés</w:t>
      </w:r>
      <w:r w:rsidRPr="006E2F26">
        <w:rPr>
          <w:rFonts w:asciiTheme="minorHAnsi" w:hAnsiTheme="minorHAnsi" w:cstheme="minorHAnsi"/>
          <w:b/>
          <w:sz w:val="24"/>
          <w:szCs w:val="24"/>
          <w:lang w:val="fr-FR"/>
        </w:rPr>
        <w:t> » ?</w:t>
      </w:r>
    </w:p>
    <w:p w14:paraId="36F8DCA0" w14:textId="77777777" w:rsidR="00AD763F" w:rsidRPr="006E2F26" w:rsidRDefault="00AD763F" w:rsidP="00340823">
      <w:pPr>
        <w:pStyle w:val="Textebrut"/>
        <w:tabs>
          <w:tab w:val="left" w:pos="1843"/>
        </w:tabs>
        <w:jc w:val="both"/>
        <w:rPr>
          <w:rFonts w:asciiTheme="minorHAnsi" w:hAnsiTheme="minorHAnsi" w:cstheme="minorHAnsi"/>
          <w:sz w:val="24"/>
          <w:szCs w:val="24"/>
          <w:lang w:val="fr-FR"/>
        </w:rPr>
      </w:pPr>
    </w:p>
    <w:p w14:paraId="0434AF1C" w14:textId="77777777" w:rsidR="004916EE" w:rsidRPr="006E2F26" w:rsidRDefault="004916EE"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1. Une loi particulière </w:t>
      </w:r>
      <w:r w:rsidR="002F3C9D" w:rsidRPr="006E2F26">
        <w:rPr>
          <w:rFonts w:asciiTheme="minorHAnsi" w:hAnsiTheme="minorHAnsi" w:cstheme="minorHAnsi"/>
          <w:sz w:val="24"/>
          <w:szCs w:val="24"/>
          <w:lang w:val="fr-FR"/>
        </w:rPr>
        <w:t>datée du 24 février</w:t>
      </w:r>
      <w:r w:rsidRPr="006E2F26">
        <w:rPr>
          <w:rFonts w:asciiTheme="minorHAnsi" w:hAnsiTheme="minorHAnsi" w:cstheme="minorHAnsi"/>
          <w:sz w:val="24"/>
          <w:szCs w:val="24"/>
          <w:lang w:val="fr-FR"/>
        </w:rPr>
        <w:t xml:space="preserve"> 1978 régi</w:t>
      </w:r>
      <w:r w:rsidR="002F3C9D" w:rsidRPr="006E2F26">
        <w:rPr>
          <w:rFonts w:asciiTheme="minorHAnsi" w:hAnsiTheme="minorHAnsi" w:cstheme="minorHAnsi"/>
          <w:sz w:val="24"/>
          <w:szCs w:val="24"/>
          <w:lang w:val="fr-FR"/>
        </w:rPr>
        <w:t>t</w:t>
      </w:r>
      <w:r w:rsidRPr="006E2F26">
        <w:rPr>
          <w:rFonts w:asciiTheme="minorHAnsi" w:hAnsiTheme="minorHAnsi" w:cstheme="minorHAnsi"/>
          <w:sz w:val="24"/>
          <w:szCs w:val="24"/>
          <w:lang w:val="fr-FR"/>
        </w:rPr>
        <w:t xml:space="preserve"> le contrat</w:t>
      </w:r>
      <w:r w:rsidR="002F3C9D" w:rsidRPr="006E2F26">
        <w:rPr>
          <w:rFonts w:asciiTheme="minorHAnsi" w:hAnsiTheme="minorHAnsi" w:cstheme="minorHAnsi"/>
          <w:sz w:val="24"/>
          <w:szCs w:val="24"/>
          <w:lang w:val="fr-FR"/>
        </w:rPr>
        <w:t xml:space="preserve"> de travail de sportif rémunéré.</w:t>
      </w:r>
    </w:p>
    <w:p w14:paraId="742E757F" w14:textId="77777777" w:rsidR="00035DB5" w:rsidRPr="006E2F26" w:rsidRDefault="00035DB5" w:rsidP="00340823">
      <w:pPr>
        <w:pStyle w:val="Textebrut"/>
        <w:tabs>
          <w:tab w:val="left" w:pos="1843"/>
        </w:tabs>
        <w:jc w:val="both"/>
        <w:rPr>
          <w:rFonts w:asciiTheme="minorHAnsi" w:hAnsiTheme="minorHAnsi" w:cstheme="minorHAnsi"/>
          <w:sz w:val="24"/>
          <w:szCs w:val="24"/>
          <w:lang w:val="fr-FR"/>
        </w:rPr>
      </w:pPr>
    </w:p>
    <w:p w14:paraId="355E8F69" w14:textId="77777777" w:rsidR="00035DB5" w:rsidRPr="006E2F26" w:rsidRDefault="00035DB5"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Cette loi définit comme sportif rémunéré </w:t>
      </w:r>
      <w:r w:rsidR="002F3C9D" w:rsidRPr="006E2F26">
        <w:rPr>
          <w:rFonts w:asciiTheme="minorHAnsi" w:hAnsiTheme="minorHAnsi" w:cstheme="minorHAnsi"/>
          <w:sz w:val="24"/>
          <w:szCs w:val="24"/>
          <w:lang w:val="fr-FR"/>
        </w:rPr>
        <w:t>ceux qui s'engagent à se préparer ou à participer à une compétition ou à une exhibition sportive sous l'autorité d'une autre personne, moyennant une rémunération excédant un certain montant (article 2</w:t>
      </w:r>
      <w:r w:rsidR="00F13391" w:rsidRPr="006E2F26">
        <w:rPr>
          <w:rFonts w:asciiTheme="minorHAnsi" w:hAnsiTheme="minorHAnsi" w:cstheme="minorHAnsi"/>
          <w:sz w:val="24"/>
          <w:szCs w:val="24"/>
          <w:lang w:val="fr-FR"/>
        </w:rPr>
        <w:t>, §1</w:t>
      </w:r>
      <w:r w:rsidR="00F13391" w:rsidRPr="006E2F26">
        <w:rPr>
          <w:rFonts w:asciiTheme="minorHAnsi" w:hAnsiTheme="minorHAnsi" w:cstheme="minorHAnsi"/>
          <w:sz w:val="24"/>
          <w:szCs w:val="24"/>
          <w:vertAlign w:val="superscript"/>
          <w:lang w:val="fr-FR"/>
        </w:rPr>
        <w:t>er</w:t>
      </w:r>
      <w:r w:rsidR="00F13391" w:rsidRPr="006E2F26">
        <w:rPr>
          <w:rFonts w:asciiTheme="minorHAnsi" w:hAnsiTheme="minorHAnsi" w:cstheme="minorHAnsi"/>
          <w:sz w:val="24"/>
          <w:szCs w:val="24"/>
          <w:lang w:val="fr-FR"/>
        </w:rPr>
        <w:t xml:space="preserve"> , </w:t>
      </w:r>
      <w:r w:rsidR="002F3C9D" w:rsidRPr="006E2F26">
        <w:rPr>
          <w:rFonts w:asciiTheme="minorHAnsi" w:hAnsiTheme="minorHAnsi" w:cstheme="minorHAnsi"/>
          <w:sz w:val="24"/>
          <w:szCs w:val="24"/>
          <w:lang w:val="fr-FR"/>
        </w:rPr>
        <w:t>al</w:t>
      </w:r>
      <w:r w:rsidR="00F13391" w:rsidRPr="006E2F26">
        <w:rPr>
          <w:rFonts w:asciiTheme="minorHAnsi" w:hAnsiTheme="minorHAnsi" w:cstheme="minorHAnsi"/>
          <w:sz w:val="24"/>
          <w:szCs w:val="24"/>
          <w:lang w:val="fr-FR"/>
        </w:rPr>
        <w:t>.</w:t>
      </w:r>
      <w:r w:rsidR="002F3C9D" w:rsidRPr="006E2F26">
        <w:rPr>
          <w:rFonts w:asciiTheme="minorHAnsi" w:hAnsiTheme="minorHAnsi" w:cstheme="minorHAnsi"/>
          <w:sz w:val="24"/>
          <w:szCs w:val="24"/>
          <w:lang w:val="fr-FR"/>
        </w:rPr>
        <w:t xml:space="preserve"> 1</w:t>
      </w:r>
      <w:r w:rsidR="002F3C9D" w:rsidRPr="006E2F26">
        <w:rPr>
          <w:rFonts w:asciiTheme="minorHAnsi" w:hAnsiTheme="minorHAnsi" w:cstheme="minorHAnsi"/>
          <w:sz w:val="24"/>
          <w:szCs w:val="24"/>
          <w:vertAlign w:val="superscript"/>
          <w:lang w:val="fr-FR"/>
        </w:rPr>
        <w:t>er</w:t>
      </w:r>
      <w:r w:rsidR="002F3C9D" w:rsidRPr="006E2F26">
        <w:rPr>
          <w:rFonts w:asciiTheme="minorHAnsi" w:hAnsiTheme="minorHAnsi" w:cstheme="minorHAnsi"/>
          <w:sz w:val="24"/>
          <w:szCs w:val="24"/>
          <w:lang w:val="fr-FR"/>
        </w:rPr>
        <w:t xml:space="preserve">).  </w:t>
      </w:r>
    </w:p>
    <w:p w14:paraId="07B075CE" w14:textId="77777777" w:rsidR="002F3C9D" w:rsidRPr="006E2F26" w:rsidRDefault="002F3C9D" w:rsidP="00340823">
      <w:pPr>
        <w:pStyle w:val="Textebrut"/>
        <w:tabs>
          <w:tab w:val="left" w:pos="1843"/>
        </w:tabs>
        <w:jc w:val="both"/>
        <w:rPr>
          <w:rFonts w:asciiTheme="minorHAnsi" w:hAnsiTheme="minorHAnsi" w:cstheme="minorHAnsi"/>
          <w:sz w:val="24"/>
          <w:szCs w:val="24"/>
          <w:lang w:val="fr-FR"/>
        </w:rPr>
      </w:pPr>
    </w:p>
    <w:p w14:paraId="17A41E54" w14:textId="77777777" w:rsidR="002F3C9D" w:rsidRPr="006E2F26" w:rsidRDefault="00646036"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2. </w:t>
      </w:r>
      <w:r w:rsidR="00F13391" w:rsidRPr="006E2F26">
        <w:rPr>
          <w:rFonts w:asciiTheme="minorHAnsi" w:hAnsiTheme="minorHAnsi" w:cstheme="minorHAnsi"/>
          <w:sz w:val="24"/>
          <w:szCs w:val="24"/>
          <w:lang w:val="fr-FR"/>
        </w:rPr>
        <w:t xml:space="preserve">La loi prévoit également qu’une extension aux catégories de personnes concernées par la préparation ou la pratique du sport peut être établie par arrêté royal </w:t>
      </w:r>
      <w:r w:rsidR="002F3C9D" w:rsidRPr="006E2F26">
        <w:rPr>
          <w:rFonts w:asciiTheme="minorHAnsi" w:hAnsiTheme="minorHAnsi" w:cstheme="minorHAnsi"/>
          <w:sz w:val="24"/>
          <w:szCs w:val="24"/>
          <w:lang w:val="fr-FR"/>
        </w:rPr>
        <w:t xml:space="preserve">après avis de la Commission </w:t>
      </w:r>
      <w:r w:rsidR="00F13391" w:rsidRPr="006E2F26">
        <w:rPr>
          <w:rFonts w:asciiTheme="minorHAnsi" w:hAnsiTheme="minorHAnsi" w:cstheme="minorHAnsi"/>
          <w:sz w:val="24"/>
          <w:szCs w:val="24"/>
          <w:lang w:val="fr-FR"/>
        </w:rPr>
        <w:t>paritaire nationale des Sports. Cette extension peut viser</w:t>
      </w:r>
      <w:r w:rsidR="002F3C9D" w:rsidRPr="006E2F26">
        <w:rPr>
          <w:rFonts w:asciiTheme="minorHAnsi" w:hAnsiTheme="minorHAnsi" w:cstheme="minorHAnsi"/>
          <w:sz w:val="24"/>
          <w:szCs w:val="24"/>
          <w:lang w:val="fr-FR"/>
        </w:rPr>
        <w:t xml:space="preserve"> </w:t>
      </w:r>
      <w:r w:rsidR="00F13391" w:rsidRPr="006E2F26">
        <w:rPr>
          <w:rFonts w:asciiTheme="minorHAnsi" w:hAnsiTheme="minorHAnsi" w:cstheme="minorHAnsi"/>
          <w:sz w:val="24"/>
          <w:szCs w:val="24"/>
          <w:lang w:val="fr-FR"/>
        </w:rPr>
        <w:t xml:space="preserve">toutes </w:t>
      </w:r>
      <w:r w:rsidR="002F3C9D" w:rsidRPr="006E2F26">
        <w:rPr>
          <w:rFonts w:asciiTheme="minorHAnsi" w:hAnsiTheme="minorHAnsi" w:cstheme="minorHAnsi"/>
          <w:sz w:val="24"/>
          <w:szCs w:val="24"/>
          <w:lang w:val="fr-FR"/>
        </w:rPr>
        <w:t xml:space="preserve">les dispositions de la loi </w:t>
      </w:r>
      <w:r w:rsidR="00F13391" w:rsidRPr="006E2F26">
        <w:rPr>
          <w:rFonts w:asciiTheme="minorHAnsi" w:hAnsiTheme="minorHAnsi" w:cstheme="minorHAnsi"/>
          <w:sz w:val="24"/>
          <w:szCs w:val="24"/>
          <w:lang w:val="fr-FR"/>
        </w:rPr>
        <w:t>ou seulement une</w:t>
      </w:r>
      <w:r w:rsidR="002F3C9D" w:rsidRPr="006E2F26">
        <w:rPr>
          <w:rFonts w:asciiTheme="minorHAnsi" w:hAnsiTheme="minorHAnsi" w:cstheme="minorHAnsi"/>
          <w:sz w:val="24"/>
          <w:szCs w:val="24"/>
          <w:lang w:val="fr-FR"/>
        </w:rPr>
        <w:t xml:space="preserve"> partie dans les conditions </w:t>
      </w:r>
      <w:r w:rsidR="00F13391" w:rsidRPr="006E2F26">
        <w:rPr>
          <w:rFonts w:asciiTheme="minorHAnsi" w:hAnsiTheme="minorHAnsi" w:cstheme="minorHAnsi"/>
          <w:sz w:val="24"/>
          <w:szCs w:val="24"/>
          <w:lang w:val="fr-FR"/>
        </w:rPr>
        <w:t xml:space="preserve">que le Roi </w:t>
      </w:r>
      <w:r w:rsidR="002F3C9D" w:rsidRPr="006E2F26">
        <w:rPr>
          <w:rFonts w:asciiTheme="minorHAnsi" w:hAnsiTheme="minorHAnsi" w:cstheme="minorHAnsi"/>
          <w:sz w:val="24"/>
          <w:szCs w:val="24"/>
          <w:lang w:val="fr-FR"/>
        </w:rPr>
        <w:t>détermine</w:t>
      </w:r>
      <w:r w:rsidR="00F13391" w:rsidRPr="006E2F26">
        <w:rPr>
          <w:rFonts w:asciiTheme="minorHAnsi" w:hAnsiTheme="minorHAnsi" w:cstheme="minorHAnsi"/>
          <w:sz w:val="24"/>
          <w:szCs w:val="24"/>
          <w:lang w:val="fr-FR"/>
        </w:rPr>
        <w:t>.</w:t>
      </w:r>
      <w:r w:rsidR="002F3C9D" w:rsidRPr="006E2F26">
        <w:rPr>
          <w:rFonts w:asciiTheme="minorHAnsi" w:hAnsiTheme="minorHAnsi" w:cstheme="minorHAnsi"/>
          <w:sz w:val="24"/>
          <w:szCs w:val="24"/>
          <w:lang w:val="fr-FR"/>
        </w:rPr>
        <w:t xml:space="preserve"> </w:t>
      </w:r>
      <w:r w:rsidR="00F13391" w:rsidRPr="006E2F26">
        <w:rPr>
          <w:rFonts w:asciiTheme="minorHAnsi" w:hAnsiTheme="minorHAnsi" w:cstheme="minorHAnsi"/>
          <w:sz w:val="24"/>
          <w:szCs w:val="24"/>
          <w:lang w:val="fr-FR"/>
        </w:rPr>
        <w:t>Le Roi peut également soustraire</w:t>
      </w:r>
      <w:r w:rsidR="002F3C9D" w:rsidRPr="006E2F26">
        <w:rPr>
          <w:rFonts w:asciiTheme="minorHAnsi" w:hAnsiTheme="minorHAnsi" w:cstheme="minorHAnsi"/>
          <w:sz w:val="24"/>
          <w:szCs w:val="24"/>
          <w:lang w:val="fr-FR"/>
        </w:rPr>
        <w:t xml:space="preserve"> à </w:t>
      </w:r>
      <w:r w:rsidR="00F13391" w:rsidRPr="006E2F26">
        <w:rPr>
          <w:rFonts w:asciiTheme="minorHAnsi" w:hAnsiTheme="minorHAnsi" w:cstheme="minorHAnsi"/>
          <w:sz w:val="24"/>
          <w:szCs w:val="24"/>
          <w:lang w:val="fr-FR"/>
        </w:rPr>
        <w:t>certaines personnes à son</w:t>
      </w:r>
      <w:r w:rsidR="002F3C9D" w:rsidRPr="006E2F26">
        <w:rPr>
          <w:rFonts w:asciiTheme="minorHAnsi" w:hAnsiTheme="minorHAnsi" w:cstheme="minorHAnsi"/>
          <w:sz w:val="24"/>
          <w:szCs w:val="24"/>
          <w:lang w:val="fr-FR"/>
        </w:rPr>
        <w:t xml:space="preserve"> application</w:t>
      </w:r>
      <w:r w:rsidR="00F13391" w:rsidRPr="006E2F26">
        <w:rPr>
          <w:rFonts w:asciiTheme="minorHAnsi" w:hAnsiTheme="minorHAnsi" w:cstheme="minorHAnsi"/>
          <w:sz w:val="24"/>
          <w:szCs w:val="24"/>
          <w:lang w:val="fr-FR"/>
        </w:rPr>
        <w:t xml:space="preserve"> (article 2, §2)</w:t>
      </w:r>
      <w:r w:rsidR="002F3C9D" w:rsidRPr="006E2F26">
        <w:rPr>
          <w:rFonts w:asciiTheme="minorHAnsi" w:hAnsiTheme="minorHAnsi" w:cstheme="minorHAnsi"/>
          <w:sz w:val="24"/>
          <w:szCs w:val="24"/>
          <w:lang w:val="fr-FR"/>
        </w:rPr>
        <w:t>.</w:t>
      </w:r>
    </w:p>
    <w:p w14:paraId="0E2C42BA" w14:textId="77777777" w:rsidR="00F13391" w:rsidRDefault="00F13391" w:rsidP="00340823">
      <w:pPr>
        <w:pStyle w:val="Textebrut"/>
        <w:tabs>
          <w:tab w:val="left" w:pos="1843"/>
        </w:tabs>
        <w:jc w:val="both"/>
        <w:rPr>
          <w:rFonts w:asciiTheme="minorHAnsi" w:hAnsiTheme="minorHAnsi" w:cstheme="minorHAnsi"/>
          <w:sz w:val="24"/>
          <w:szCs w:val="24"/>
          <w:lang w:val="fr-FR"/>
        </w:rPr>
      </w:pPr>
    </w:p>
    <w:p w14:paraId="5308949D" w14:textId="77777777" w:rsidR="00A02E16" w:rsidRDefault="00A02E16" w:rsidP="00340823">
      <w:pPr>
        <w:pStyle w:val="Textebrut"/>
        <w:tabs>
          <w:tab w:val="left" w:pos="1843"/>
        </w:tabs>
        <w:jc w:val="both"/>
        <w:rPr>
          <w:rFonts w:asciiTheme="minorHAnsi" w:hAnsiTheme="minorHAnsi" w:cstheme="minorHAnsi"/>
          <w:sz w:val="24"/>
          <w:szCs w:val="24"/>
          <w:lang w:val="fr-FR"/>
        </w:rPr>
      </w:pPr>
    </w:p>
    <w:p w14:paraId="0B3A29F9" w14:textId="77777777" w:rsidR="00A02E16" w:rsidRPr="006E2F26" w:rsidRDefault="00A02E16" w:rsidP="00340823">
      <w:pPr>
        <w:pStyle w:val="Textebrut"/>
        <w:tabs>
          <w:tab w:val="left" w:pos="1843"/>
        </w:tabs>
        <w:jc w:val="both"/>
        <w:rPr>
          <w:rFonts w:asciiTheme="minorHAnsi" w:hAnsiTheme="minorHAnsi" w:cstheme="minorHAnsi"/>
          <w:sz w:val="24"/>
          <w:szCs w:val="24"/>
          <w:lang w:val="fr-FR"/>
        </w:rPr>
      </w:pPr>
    </w:p>
    <w:p w14:paraId="5168EE40" w14:textId="77777777" w:rsidR="00F13391" w:rsidRPr="006E2F26" w:rsidRDefault="002F1389"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C’est ainsi que des extensions ont été prévues :</w:t>
      </w:r>
    </w:p>
    <w:p w14:paraId="41890150" w14:textId="77777777" w:rsidR="003D631B" w:rsidRPr="006E2F26" w:rsidRDefault="003D631B" w:rsidP="00340823">
      <w:pPr>
        <w:pStyle w:val="Textebrut"/>
        <w:tabs>
          <w:tab w:val="left" w:pos="1843"/>
        </w:tabs>
        <w:jc w:val="both"/>
        <w:rPr>
          <w:rFonts w:asciiTheme="minorHAnsi" w:hAnsiTheme="minorHAnsi" w:cstheme="minorHAnsi"/>
          <w:sz w:val="24"/>
          <w:szCs w:val="24"/>
          <w:lang w:val="fr-FR"/>
        </w:rPr>
      </w:pPr>
    </w:p>
    <w:p w14:paraId="400441C3" w14:textId="77777777" w:rsidR="002F1389" w:rsidRPr="006E2F26" w:rsidRDefault="002F1389" w:rsidP="00340823">
      <w:pPr>
        <w:pStyle w:val="Textebrut"/>
        <w:numPr>
          <w:ilvl w:val="0"/>
          <w:numId w:val="10"/>
        </w:numPr>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lastRenderedPageBreak/>
        <w:t>Pour les arbitres de football</w:t>
      </w:r>
      <w:r w:rsidR="003D631B" w:rsidRPr="006E2F26">
        <w:rPr>
          <w:rStyle w:val="Appelnotedebasdep"/>
          <w:rFonts w:asciiTheme="minorHAnsi" w:hAnsiTheme="minorHAnsi" w:cstheme="minorHAnsi"/>
          <w:sz w:val="24"/>
          <w:szCs w:val="24"/>
          <w:lang w:val="fr-FR"/>
        </w:rPr>
        <w:footnoteReference w:id="1"/>
      </w:r>
      <w:r w:rsidRPr="006E2F26">
        <w:rPr>
          <w:rFonts w:asciiTheme="minorHAnsi" w:hAnsiTheme="minorHAnsi" w:cstheme="minorHAnsi"/>
          <w:sz w:val="24"/>
          <w:szCs w:val="24"/>
          <w:lang w:val="fr-FR"/>
        </w:rPr>
        <w:t> </w:t>
      </w:r>
      <w:r w:rsidR="00F4787C" w:rsidRPr="006E2F26">
        <w:rPr>
          <w:rFonts w:asciiTheme="minorHAnsi" w:hAnsiTheme="minorHAnsi" w:cstheme="minorHAnsi"/>
          <w:sz w:val="24"/>
          <w:szCs w:val="24"/>
          <w:lang w:val="fr-FR"/>
        </w:rPr>
        <w:t>et de basketball</w:t>
      </w:r>
      <w:r w:rsidR="00F4787C" w:rsidRPr="006E2F26">
        <w:rPr>
          <w:rStyle w:val="Appelnotedebasdep"/>
          <w:rFonts w:asciiTheme="minorHAnsi" w:hAnsiTheme="minorHAnsi" w:cstheme="minorHAnsi"/>
          <w:sz w:val="24"/>
          <w:szCs w:val="24"/>
          <w:lang w:val="fr-FR"/>
        </w:rPr>
        <w:footnoteReference w:id="2"/>
      </w:r>
      <w:r w:rsidR="00F4787C" w:rsidRPr="006E2F26">
        <w:rPr>
          <w:rFonts w:asciiTheme="minorHAnsi" w:hAnsiTheme="minorHAnsi" w:cstheme="minorHAnsi"/>
          <w:sz w:val="24"/>
          <w:szCs w:val="24"/>
          <w:lang w:val="fr-FR"/>
        </w:rPr>
        <w:t xml:space="preserve"> </w:t>
      </w:r>
      <w:r w:rsidRPr="006E2F26">
        <w:rPr>
          <w:rFonts w:asciiTheme="minorHAnsi" w:hAnsiTheme="minorHAnsi" w:cstheme="minorHAnsi"/>
          <w:sz w:val="24"/>
          <w:szCs w:val="24"/>
          <w:lang w:val="fr-FR"/>
        </w:rPr>
        <w:t>;</w:t>
      </w:r>
    </w:p>
    <w:p w14:paraId="7E5BBEA9" w14:textId="77777777" w:rsidR="002F1389" w:rsidRPr="006E2F26" w:rsidRDefault="002F1389" w:rsidP="00340823">
      <w:pPr>
        <w:pStyle w:val="Textebrut"/>
        <w:numPr>
          <w:ilvl w:val="0"/>
          <w:numId w:val="10"/>
        </w:numPr>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Pour les entraîneurs de football</w:t>
      </w:r>
      <w:r w:rsidR="003D631B" w:rsidRPr="006E2F26">
        <w:rPr>
          <w:rStyle w:val="Appelnotedebasdep"/>
          <w:rFonts w:asciiTheme="minorHAnsi" w:hAnsiTheme="minorHAnsi" w:cstheme="minorHAnsi"/>
          <w:sz w:val="24"/>
          <w:szCs w:val="24"/>
          <w:lang w:val="fr-FR"/>
        </w:rPr>
        <w:footnoteReference w:id="3"/>
      </w:r>
      <w:r w:rsidRPr="006E2F26">
        <w:rPr>
          <w:rFonts w:asciiTheme="minorHAnsi" w:hAnsiTheme="minorHAnsi" w:cstheme="minorHAnsi"/>
          <w:sz w:val="24"/>
          <w:szCs w:val="24"/>
          <w:lang w:val="fr-FR"/>
        </w:rPr>
        <w:t>, de basketball, de volleyball et du cyclisme</w:t>
      </w:r>
      <w:r w:rsidR="003D631B" w:rsidRPr="006E2F26">
        <w:rPr>
          <w:rStyle w:val="Appelnotedebasdep"/>
          <w:rFonts w:asciiTheme="minorHAnsi" w:hAnsiTheme="minorHAnsi" w:cstheme="minorHAnsi"/>
          <w:sz w:val="24"/>
          <w:szCs w:val="24"/>
          <w:lang w:val="fr-FR"/>
        </w:rPr>
        <w:footnoteReference w:id="4"/>
      </w:r>
      <w:r w:rsidRPr="006E2F26">
        <w:rPr>
          <w:rFonts w:asciiTheme="minorHAnsi" w:hAnsiTheme="minorHAnsi" w:cstheme="minorHAnsi"/>
          <w:sz w:val="24"/>
          <w:szCs w:val="24"/>
          <w:lang w:val="fr-FR"/>
        </w:rPr>
        <w:t>.</w:t>
      </w:r>
    </w:p>
    <w:p w14:paraId="20AE5E05" w14:textId="77777777" w:rsidR="004916EE" w:rsidRPr="006E2F26" w:rsidRDefault="004916EE" w:rsidP="00340823">
      <w:pPr>
        <w:pStyle w:val="Textebrut"/>
        <w:tabs>
          <w:tab w:val="left" w:pos="1843"/>
        </w:tabs>
        <w:jc w:val="both"/>
        <w:rPr>
          <w:rFonts w:asciiTheme="minorHAnsi" w:hAnsiTheme="minorHAnsi" w:cstheme="minorHAnsi"/>
          <w:sz w:val="24"/>
          <w:szCs w:val="24"/>
          <w:lang w:val="fr-FR"/>
        </w:rPr>
      </w:pPr>
    </w:p>
    <w:p w14:paraId="5C59ACC6" w14:textId="77777777" w:rsidR="004916EE" w:rsidRPr="006E2F26" w:rsidRDefault="00646036"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3. </w:t>
      </w:r>
      <w:r w:rsidR="004916EE" w:rsidRPr="006E2F26">
        <w:rPr>
          <w:rFonts w:asciiTheme="minorHAnsi" w:hAnsiTheme="minorHAnsi" w:cstheme="minorHAnsi"/>
          <w:sz w:val="24"/>
          <w:szCs w:val="24"/>
          <w:lang w:val="fr-FR"/>
        </w:rPr>
        <w:t xml:space="preserve">Cette loi prévoit une présomption irréfragable de contrat de travail </w:t>
      </w:r>
      <w:r w:rsidR="00287268" w:rsidRPr="006E2F26">
        <w:rPr>
          <w:rFonts w:asciiTheme="minorHAnsi" w:hAnsiTheme="minorHAnsi" w:cstheme="minorHAnsi"/>
          <w:sz w:val="24"/>
          <w:szCs w:val="24"/>
          <w:lang w:val="fr-FR"/>
        </w:rPr>
        <w:t>d’employé, sans qu’il y ait lieu de démontrer un lien de subordination</w:t>
      </w:r>
      <w:r w:rsidR="00E5576A" w:rsidRPr="006E2F26">
        <w:rPr>
          <w:rStyle w:val="Appelnotedebasdep"/>
          <w:rFonts w:asciiTheme="minorHAnsi" w:hAnsiTheme="minorHAnsi" w:cstheme="minorHAnsi"/>
          <w:sz w:val="24"/>
          <w:szCs w:val="24"/>
          <w:lang w:val="fr-FR"/>
        </w:rPr>
        <w:footnoteReference w:id="5"/>
      </w:r>
      <w:r w:rsidR="00287268" w:rsidRPr="006E2F26">
        <w:rPr>
          <w:rFonts w:asciiTheme="minorHAnsi" w:hAnsiTheme="minorHAnsi" w:cstheme="minorHAnsi"/>
          <w:sz w:val="24"/>
          <w:szCs w:val="24"/>
          <w:lang w:val="fr-FR"/>
        </w:rPr>
        <w:t>.</w:t>
      </w:r>
    </w:p>
    <w:p w14:paraId="7746024A" w14:textId="77777777" w:rsidR="00035DB5" w:rsidRPr="006E2F26" w:rsidRDefault="00035DB5" w:rsidP="00340823">
      <w:pPr>
        <w:pStyle w:val="Textebrut"/>
        <w:tabs>
          <w:tab w:val="left" w:pos="1843"/>
        </w:tabs>
        <w:jc w:val="both"/>
        <w:rPr>
          <w:rFonts w:asciiTheme="minorHAnsi" w:hAnsiTheme="minorHAnsi" w:cstheme="minorHAnsi"/>
          <w:sz w:val="24"/>
          <w:szCs w:val="24"/>
          <w:lang w:val="fr-FR"/>
        </w:rPr>
      </w:pPr>
    </w:p>
    <w:p w14:paraId="53D2D355" w14:textId="77777777" w:rsidR="00035DB5" w:rsidRPr="006E2F26" w:rsidRDefault="00300E7C"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En ce qui concerne la rupture du contrat à durée indéterminée, la loi prévoit qu’elle ne peut se faire que moyennant le paiement d’une indemnité de préavis et non en notifiant un délai de préavis.  </w:t>
      </w:r>
      <w:r w:rsidR="00035DB5" w:rsidRPr="006E2F26">
        <w:rPr>
          <w:rFonts w:asciiTheme="minorHAnsi" w:hAnsiTheme="minorHAnsi" w:cstheme="minorHAnsi"/>
          <w:sz w:val="24"/>
          <w:szCs w:val="24"/>
          <w:lang w:val="fr-FR"/>
        </w:rPr>
        <w:t xml:space="preserve">Une indemnité particulière est </w:t>
      </w:r>
      <w:r w:rsidR="00F13391" w:rsidRPr="006E2F26">
        <w:rPr>
          <w:rFonts w:asciiTheme="minorHAnsi" w:hAnsiTheme="minorHAnsi" w:cstheme="minorHAnsi"/>
          <w:sz w:val="24"/>
          <w:szCs w:val="24"/>
          <w:lang w:val="fr-FR"/>
        </w:rPr>
        <w:t xml:space="preserve">également </w:t>
      </w:r>
      <w:r w:rsidR="00035DB5" w:rsidRPr="006E2F26">
        <w:rPr>
          <w:rFonts w:asciiTheme="minorHAnsi" w:hAnsiTheme="minorHAnsi" w:cstheme="minorHAnsi"/>
          <w:sz w:val="24"/>
          <w:szCs w:val="24"/>
          <w:lang w:val="fr-FR"/>
        </w:rPr>
        <w:t xml:space="preserve">prévue en cas de rupture du contrat (article 5, alinéa 2 de la loi du 24 février 1978). </w:t>
      </w:r>
      <w:r w:rsidR="00AD763F" w:rsidRPr="006E2F26">
        <w:rPr>
          <w:rFonts w:asciiTheme="minorHAnsi" w:hAnsiTheme="minorHAnsi" w:cstheme="minorHAnsi"/>
          <w:sz w:val="24"/>
          <w:szCs w:val="24"/>
          <w:lang w:val="fr-FR"/>
        </w:rPr>
        <w:t>La loi prévoit qu’elle doit être</w:t>
      </w:r>
      <w:r w:rsidR="00035DB5" w:rsidRPr="006E2F26">
        <w:rPr>
          <w:rFonts w:asciiTheme="minorHAnsi" w:hAnsiTheme="minorHAnsi" w:cstheme="minorHAnsi"/>
          <w:sz w:val="24"/>
          <w:szCs w:val="24"/>
          <w:lang w:val="fr-FR"/>
        </w:rPr>
        <w:t xml:space="preserve"> </w:t>
      </w:r>
      <w:r w:rsidR="00AD763F" w:rsidRPr="006E2F26">
        <w:rPr>
          <w:rFonts w:asciiTheme="minorHAnsi" w:hAnsiTheme="minorHAnsi" w:cstheme="minorHAnsi"/>
          <w:sz w:val="24"/>
          <w:szCs w:val="24"/>
          <w:lang w:val="fr-FR"/>
        </w:rPr>
        <w:t>établie</w:t>
      </w:r>
      <w:r w:rsidR="00035DB5" w:rsidRPr="006E2F26">
        <w:rPr>
          <w:rFonts w:asciiTheme="minorHAnsi" w:hAnsiTheme="minorHAnsi" w:cstheme="minorHAnsi"/>
          <w:sz w:val="24"/>
          <w:szCs w:val="24"/>
          <w:lang w:val="fr-FR"/>
        </w:rPr>
        <w:t xml:space="preserve"> </w:t>
      </w:r>
      <w:r w:rsidR="00AD763F" w:rsidRPr="006E2F26">
        <w:rPr>
          <w:rFonts w:asciiTheme="minorHAnsi" w:hAnsiTheme="minorHAnsi" w:cstheme="minorHAnsi"/>
          <w:sz w:val="24"/>
          <w:szCs w:val="24"/>
          <w:lang w:val="fr-FR"/>
        </w:rPr>
        <w:t xml:space="preserve">par </w:t>
      </w:r>
      <w:r w:rsidR="00035DB5" w:rsidRPr="006E2F26">
        <w:rPr>
          <w:rFonts w:asciiTheme="minorHAnsi" w:hAnsiTheme="minorHAnsi" w:cstheme="minorHAnsi"/>
          <w:sz w:val="24"/>
          <w:szCs w:val="24"/>
          <w:lang w:val="fr-FR"/>
        </w:rPr>
        <w:t>arr</w:t>
      </w:r>
      <w:r w:rsidR="00AD763F" w:rsidRPr="006E2F26">
        <w:rPr>
          <w:rFonts w:asciiTheme="minorHAnsi" w:hAnsiTheme="minorHAnsi" w:cstheme="minorHAnsi"/>
          <w:sz w:val="24"/>
          <w:szCs w:val="24"/>
          <w:lang w:val="fr-FR"/>
        </w:rPr>
        <w:t>êté royal et en l’absence d’arrêté royal</w:t>
      </w:r>
      <w:r w:rsidR="00424AF2" w:rsidRPr="006E2F26">
        <w:rPr>
          <w:rFonts w:asciiTheme="minorHAnsi" w:hAnsiTheme="minorHAnsi" w:cstheme="minorHAnsi"/>
          <w:sz w:val="24"/>
          <w:szCs w:val="24"/>
          <w:lang w:val="fr-FR"/>
        </w:rPr>
        <w:t xml:space="preserve">, </w:t>
      </w:r>
      <w:r w:rsidR="00AD763F" w:rsidRPr="006E2F26">
        <w:rPr>
          <w:rFonts w:asciiTheme="minorHAnsi" w:hAnsiTheme="minorHAnsi" w:cstheme="minorHAnsi"/>
          <w:sz w:val="24"/>
          <w:szCs w:val="24"/>
          <w:lang w:val="fr-FR"/>
        </w:rPr>
        <w:t>elle fixe les modalités pour la calculer</w:t>
      </w:r>
      <w:r w:rsidR="00AD763F" w:rsidRPr="006E2F26">
        <w:rPr>
          <w:rStyle w:val="Appelnotedebasdep"/>
          <w:rFonts w:asciiTheme="minorHAnsi" w:hAnsiTheme="minorHAnsi" w:cstheme="minorHAnsi"/>
          <w:sz w:val="24"/>
          <w:szCs w:val="24"/>
          <w:lang w:val="fr-FR"/>
        </w:rPr>
        <w:footnoteReference w:id="6"/>
      </w:r>
      <w:r w:rsidR="00AD763F" w:rsidRPr="006E2F26">
        <w:rPr>
          <w:rFonts w:asciiTheme="minorHAnsi" w:hAnsiTheme="minorHAnsi" w:cstheme="minorHAnsi"/>
          <w:sz w:val="24"/>
          <w:szCs w:val="24"/>
          <w:lang w:val="fr-FR"/>
        </w:rPr>
        <w:t>.</w:t>
      </w:r>
      <w:r w:rsidR="00424AF2" w:rsidRPr="006E2F26">
        <w:rPr>
          <w:rFonts w:asciiTheme="minorHAnsi" w:hAnsiTheme="minorHAnsi" w:cstheme="minorHAnsi"/>
          <w:sz w:val="24"/>
          <w:szCs w:val="24"/>
          <w:lang w:val="fr-FR"/>
        </w:rPr>
        <w:t xml:space="preserve"> Un arrêté royal a bien été adopté le 13 juillet 2004 et établit la manière de calculer cette indemnité.</w:t>
      </w:r>
    </w:p>
    <w:p w14:paraId="5A0246DC" w14:textId="77777777" w:rsidR="00F13391" w:rsidRPr="006E2F26" w:rsidRDefault="00F13391" w:rsidP="00340823">
      <w:pPr>
        <w:pStyle w:val="Textebrut"/>
        <w:tabs>
          <w:tab w:val="left" w:pos="1843"/>
        </w:tabs>
        <w:jc w:val="both"/>
        <w:rPr>
          <w:rFonts w:asciiTheme="minorHAnsi" w:hAnsiTheme="minorHAnsi" w:cstheme="minorHAnsi"/>
          <w:sz w:val="24"/>
          <w:szCs w:val="24"/>
          <w:lang w:val="fr-FR"/>
        </w:rPr>
      </w:pPr>
    </w:p>
    <w:p w14:paraId="24653DBD" w14:textId="77777777" w:rsidR="00424AF2" w:rsidRPr="006E2F26" w:rsidRDefault="00424AF2"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Cette indemnité particulière</w:t>
      </w:r>
      <w:r w:rsidR="00035DB5" w:rsidRPr="006E2F26">
        <w:rPr>
          <w:rFonts w:asciiTheme="minorHAnsi" w:hAnsiTheme="minorHAnsi" w:cstheme="minorHAnsi"/>
          <w:sz w:val="24"/>
          <w:szCs w:val="24"/>
          <w:lang w:val="fr-FR"/>
        </w:rPr>
        <w:t xml:space="preserve"> n’est toutefois pas applicable aux entraîneurs de football, de basketball, de volleyball et du cyclisme car l’arrêté royal du 13 novembre 2012 qui étend la qualité de sportif rémunéré à ce type d’entraîneurs exclu</w:t>
      </w:r>
      <w:r w:rsidR="001F0D39" w:rsidRPr="006E2F26">
        <w:rPr>
          <w:rFonts w:asciiTheme="minorHAnsi" w:hAnsiTheme="minorHAnsi" w:cstheme="minorHAnsi"/>
          <w:sz w:val="24"/>
          <w:szCs w:val="24"/>
          <w:lang w:val="fr-FR"/>
        </w:rPr>
        <w:t>t</w:t>
      </w:r>
      <w:r w:rsidR="00035DB5" w:rsidRPr="006E2F26">
        <w:rPr>
          <w:rFonts w:asciiTheme="minorHAnsi" w:hAnsiTheme="minorHAnsi" w:cstheme="minorHAnsi"/>
          <w:sz w:val="24"/>
          <w:szCs w:val="24"/>
          <w:lang w:val="fr-FR"/>
        </w:rPr>
        <w:t xml:space="preserve"> son application (article 1</w:t>
      </w:r>
      <w:r w:rsidR="00035DB5" w:rsidRPr="006E2F26">
        <w:rPr>
          <w:rFonts w:asciiTheme="minorHAnsi" w:hAnsiTheme="minorHAnsi" w:cstheme="minorHAnsi"/>
          <w:sz w:val="24"/>
          <w:szCs w:val="24"/>
          <w:vertAlign w:val="superscript"/>
          <w:lang w:val="fr-FR"/>
        </w:rPr>
        <w:t>er</w:t>
      </w:r>
      <w:r w:rsidR="00035DB5" w:rsidRPr="006E2F26">
        <w:rPr>
          <w:rFonts w:asciiTheme="minorHAnsi" w:hAnsiTheme="minorHAnsi" w:cstheme="minorHAnsi"/>
          <w:sz w:val="24"/>
          <w:szCs w:val="24"/>
          <w:lang w:val="fr-FR"/>
        </w:rPr>
        <w:t xml:space="preserve"> de l’arrêté royal du 13 novembre 2012).</w:t>
      </w:r>
      <w:r w:rsidRPr="006E2F26">
        <w:rPr>
          <w:rFonts w:asciiTheme="minorHAnsi" w:hAnsiTheme="minorHAnsi" w:cstheme="minorHAnsi"/>
          <w:sz w:val="24"/>
          <w:szCs w:val="24"/>
          <w:lang w:val="fr-FR"/>
        </w:rPr>
        <w:t xml:space="preserve"> </w:t>
      </w:r>
    </w:p>
    <w:p w14:paraId="5AFE5101" w14:textId="77777777" w:rsidR="00424AF2" w:rsidRPr="006E2F26" w:rsidRDefault="00424AF2" w:rsidP="00340823">
      <w:pPr>
        <w:pStyle w:val="Textebrut"/>
        <w:tabs>
          <w:tab w:val="left" w:pos="1843"/>
        </w:tabs>
        <w:jc w:val="both"/>
        <w:rPr>
          <w:rFonts w:asciiTheme="minorHAnsi" w:hAnsiTheme="minorHAnsi" w:cstheme="minorHAnsi"/>
          <w:sz w:val="24"/>
          <w:szCs w:val="24"/>
          <w:lang w:val="fr-FR"/>
        </w:rPr>
      </w:pPr>
    </w:p>
    <w:p w14:paraId="697668EE" w14:textId="77777777" w:rsidR="00B53AA6" w:rsidRPr="006E2F26" w:rsidRDefault="00B53AA6"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Le montant de l’indemnité fixé par l’arrêté royal du 13 juillet 2004</w:t>
      </w:r>
      <w:r w:rsidRPr="006E2F26">
        <w:rPr>
          <w:rStyle w:val="Appelnotedebasdep"/>
          <w:rFonts w:asciiTheme="minorHAnsi" w:hAnsiTheme="minorHAnsi" w:cstheme="minorHAnsi"/>
          <w:sz w:val="24"/>
          <w:szCs w:val="24"/>
          <w:lang w:val="fr-FR"/>
        </w:rPr>
        <w:footnoteReference w:id="7"/>
      </w:r>
      <w:r w:rsidRPr="006E2F26">
        <w:rPr>
          <w:rFonts w:asciiTheme="minorHAnsi" w:hAnsiTheme="minorHAnsi" w:cstheme="minorHAnsi"/>
          <w:sz w:val="24"/>
          <w:szCs w:val="24"/>
          <w:lang w:val="fr-FR"/>
        </w:rPr>
        <w:t xml:space="preserve"> n’est donc pas applicable aux entraîneurs de football, de basketball, de volleyball et du cyclisme.</w:t>
      </w:r>
    </w:p>
    <w:p w14:paraId="7EA45CEE" w14:textId="77777777" w:rsidR="00300E7C" w:rsidRPr="006E2F26" w:rsidRDefault="00300E7C" w:rsidP="00340823">
      <w:pPr>
        <w:pStyle w:val="Textebrut"/>
        <w:tabs>
          <w:tab w:val="left" w:pos="1843"/>
        </w:tabs>
        <w:jc w:val="both"/>
        <w:rPr>
          <w:rFonts w:asciiTheme="minorHAnsi" w:hAnsiTheme="minorHAnsi" w:cstheme="minorHAnsi"/>
          <w:sz w:val="24"/>
          <w:szCs w:val="24"/>
          <w:lang w:val="fr-FR"/>
        </w:rPr>
      </w:pPr>
    </w:p>
    <w:p w14:paraId="028E1AF0" w14:textId="77777777" w:rsidR="00300E7C" w:rsidRPr="006E2F26" w:rsidRDefault="00300E7C"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Les règles applicables à la rupture du contrat de travail à durée indéterminée des </w:t>
      </w:r>
      <w:r w:rsidRPr="006E2F26">
        <w:rPr>
          <w:rFonts w:asciiTheme="minorHAnsi" w:hAnsiTheme="minorHAnsi" w:cstheme="minorHAnsi"/>
          <w:sz w:val="24"/>
          <w:szCs w:val="24"/>
        </w:rPr>
        <w:t xml:space="preserve"> </w:t>
      </w:r>
      <w:r w:rsidRPr="006E2F26">
        <w:rPr>
          <w:rFonts w:asciiTheme="minorHAnsi" w:hAnsiTheme="minorHAnsi" w:cstheme="minorHAnsi"/>
          <w:sz w:val="24"/>
          <w:szCs w:val="24"/>
          <w:lang w:val="fr-FR"/>
        </w:rPr>
        <w:t>entraîneurs de football, de basketball, de volleyball et du cyclisme sont donc celles de la loi du 3 juillet 1978.</w:t>
      </w:r>
    </w:p>
    <w:p w14:paraId="20AC220F" w14:textId="77777777" w:rsidR="00AF56A0" w:rsidRPr="006E2F26" w:rsidRDefault="00AF56A0" w:rsidP="00340823">
      <w:pPr>
        <w:pStyle w:val="Textebrut"/>
        <w:tabs>
          <w:tab w:val="left" w:pos="1843"/>
        </w:tabs>
        <w:jc w:val="both"/>
        <w:rPr>
          <w:rFonts w:asciiTheme="minorHAnsi" w:hAnsiTheme="minorHAnsi" w:cstheme="minorHAnsi"/>
          <w:sz w:val="24"/>
          <w:szCs w:val="24"/>
          <w:lang w:val="fr-FR"/>
        </w:rPr>
      </w:pPr>
    </w:p>
    <w:p w14:paraId="06A36E20" w14:textId="73FD00D7" w:rsidR="00AF56A0" w:rsidRPr="006E2F26" w:rsidRDefault="00646036"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4. </w:t>
      </w:r>
      <w:r w:rsidR="008C7B4A" w:rsidRPr="006E2F26">
        <w:rPr>
          <w:rFonts w:asciiTheme="minorHAnsi" w:hAnsiTheme="minorHAnsi" w:cstheme="minorHAnsi"/>
          <w:sz w:val="24"/>
          <w:szCs w:val="24"/>
          <w:lang w:val="fr-FR"/>
        </w:rPr>
        <w:t>M.</w:t>
      </w:r>
      <w:r w:rsidR="00AF56A0" w:rsidRPr="006E2F26">
        <w:rPr>
          <w:rFonts w:asciiTheme="minorHAnsi" w:hAnsiTheme="minorHAnsi" w:cstheme="minorHAnsi"/>
          <w:sz w:val="24"/>
          <w:szCs w:val="24"/>
          <w:lang w:val="fr-FR"/>
        </w:rPr>
        <w:t xml:space="preserve"> </w:t>
      </w:r>
      <w:r w:rsidR="00961229">
        <w:rPr>
          <w:rFonts w:asciiTheme="minorHAnsi" w:hAnsiTheme="minorHAnsi" w:cstheme="minorHAnsi"/>
          <w:sz w:val="24"/>
          <w:szCs w:val="24"/>
          <w:lang w:val="fr-FR"/>
        </w:rPr>
        <w:t>M</w:t>
      </w:r>
      <w:r w:rsidR="00AF56A0" w:rsidRPr="006E2F26">
        <w:rPr>
          <w:rFonts w:asciiTheme="minorHAnsi" w:hAnsiTheme="minorHAnsi" w:cstheme="minorHAnsi"/>
          <w:sz w:val="24"/>
          <w:szCs w:val="24"/>
          <w:lang w:val="fr-FR"/>
        </w:rPr>
        <w:t xml:space="preserve"> ayant signé un contrat de prestations de services avec l’A.S.B.L. en vue d’entraîner des sportifs pratiquant le tennis de table, il n’est pas visé ni par la loi du 24 février 1978, ni par un arrêté royal qui en étendrait son application.</w:t>
      </w:r>
    </w:p>
    <w:p w14:paraId="46C46F7B" w14:textId="77777777" w:rsidR="00AF56A0" w:rsidRPr="006E2F26" w:rsidRDefault="00AF56A0" w:rsidP="00340823">
      <w:pPr>
        <w:pStyle w:val="Textebrut"/>
        <w:tabs>
          <w:tab w:val="left" w:pos="1843"/>
        </w:tabs>
        <w:jc w:val="both"/>
        <w:rPr>
          <w:rFonts w:asciiTheme="minorHAnsi" w:hAnsiTheme="minorHAnsi" w:cstheme="minorHAnsi"/>
          <w:sz w:val="24"/>
          <w:szCs w:val="24"/>
          <w:lang w:val="fr-FR"/>
        </w:rPr>
      </w:pPr>
    </w:p>
    <w:p w14:paraId="78F5A1D0" w14:textId="77777777" w:rsidR="00AF56A0" w:rsidRPr="006E2F26" w:rsidRDefault="00AF56A0"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Il demande dès lors au Tribunal qu’en application de l’article 159 de la Constitution, le Tribunal considère que cette exclusion crée une discrimination et qu’il y a lieu d’inclure son cas, en tant qu’entraîneur de tennis de table, dans le champ d’application de l’arrêté </w:t>
      </w:r>
      <w:r w:rsidRPr="006E2F26">
        <w:rPr>
          <w:rFonts w:asciiTheme="minorHAnsi" w:hAnsiTheme="minorHAnsi" w:cstheme="minorHAnsi"/>
          <w:sz w:val="24"/>
          <w:szCs w:val="24"/>
          <w:lang w:val="fr-FR"/>
        </w:rPr>
        <w:lastRenderedPageBreak/>
        <w:t xml:space="preserve">royal du 14 novembre 2012, qui s’applique aux entraîneurs de football, de basketball, de volleyball et du </w:t>
      </w:r>
      <w:r w:rsidR="009946CC" w:rsidRPr="006E2F26">
        <w:rPr>
          <w:rFonts w:asciiTheme="minorHAnsi" w:hAnsiTheme="minorHAnsi" w:cstheme="minorHAnsi"/>
          <w:sz w:val="24"/>
          <w:szCs w:val="24"/>
          <w:lang w:val="fr-FR"/>
        </w:rPr>
        <w:t>cyclisme</w:t>
      </w:r>
      <w:r w:rsidRPr="006E2F26">
        <w:rPr>
          <w:rFonts w:asciiTheme="minorHAnsi" w:hAnsiTheme="minorHAnsi" w:cstheme="minorHAnsi"/>
          <w:sz w:val="24"/>
          <w:szCs w:val="24"/>
          <w:lang w:val="fr-FR"/>
        </w:rPr>
        <w:t xml:space="preserve">, et donc de la loi du 24 février 1978. </w:t>
      </w:r>
    </w:p>
    <w:p w14:paraId="024DAA7E" w14:textId="77777777" w:rsidR="00AF56A0" w:rsidRPr="006E2F26" w:rsidRDefault="00AF56A0" w:rsidP="00340823">
      <w:pPr>
        <w:pStyle w:val="Textebrut"/>
        <w:tabs>
          <w:tab w:val="left" w:pos="1843"/>
        </w:tabs>
        <w:jc w:val="both"/>
        <w:rPr>
          <w:rFonts w:asciiTheme="minorHAnsi" w:hAnsiTheme="minorHAnsi" w:cstheme="minorHAnsi"/>
          <w:sz w:val="24"/>
          <w:szCs w:val="24"/>
          <w:lang w:val="fr-FR"/>
        </w:rPr>
      </w:pPr>
    </w:p>
    <w:p w14:paraId="7892560C" w14:textId="77777777" w:rsidR="00AD763F" w:rsidRPr="006E2F26" w:rsidRDefault="005E167A" w:rsidP="00340823">
      <w:pPr>
        <w:pStyle w:val="Textebrut"/>
        <w:tabs>
          <w:tab w:val="left" w:pos="1843"/>
        </w:tabs>
        <w:jc w:val="both"/>
        <w:rPr>
          <w:rFonts w:asciiTheme="minorHAnsi" w:hAnsiTheme="minorHAnsi" w:cstheme="minorHAnsi"/>
          <w:b/>
          <w:sz w:val="24"/>
          <w:szCs w:val="24"/>
          <w:lang w:val="fr-FR"/>
        </w:rPr>
      </w:pPr>
      <w:r w:rsidRPr="006E2F26">
        <w:rPr>
          <w:rFonts w:asciiTheme="minorHAnsi" w:hAnsiTheme="minorHAnsi" w:cstheme="minorHAnsi"/>
          <w:b/>
          <w:sz w:val="24"/>
          <w:szCs w:val="24"/>
          <w:lang w:val="fr-FR"/>
        </w:rPr>
        <w:t>Les</w:t>
      </w:r>
      <w:r w:rsidR="00646036" w:rsidRPr="006E2F26">
        <w:rPr>
          <w:rFonts w:asciiTheme="minorHAnsi" w:hAnsiTheme="minorHAnsi" w:cstheme="minorHAnsi"/>
          <w:b/>
          <w:sz w:val="24"/>
          <w:szCs w:val="24"/>
          <w:lang w:val="fr-FR"/>
        </w:rPr>
        <w:t xml:space="preserve"> entraîneurs de tennis de table</w:t>
      </w:r>
      <w:r w:rsidR="004963D4" w:rsidRPr="006E2F26">
        <w:rPr>
          <w:rFonts w:asciiTheme="minorHAnsi" w:hAnsiTheme="minorHAnsi" w:cstheme="minorHAnsi"/>
          <w:b/>
          <w:sz w:val="24"/>
          <w:szCs w:val="24"/>
          <w:lang w:val="fr-FR"/>
        </w:rPr>
        <w:t xml:space="preserve"> sont-ils des « sportifs rémunérés » ?</w:t>
      </w:r>
    </w:p>
    <w:p w14:paraId="20FC05FF" w14:textId="77777777" w:rsidR="00AD763F" w:rsidRPr="006E2F26" w:rsidRDefault="00AD763F" w:rsidP="00340823">
      <w:pPr>
        <w:pStyle w:val="Textebrut"/>
        <w:tabs>
          <w:tab w:val="left" w:pos="1843"/>
        </w:tabs>
        <w:jc w:val="both"/>
        <w:rPr>
          <w:rFonts w:asciiTheme="minorHAnsi" w:hAnsiTheme="minorHAnsi" w:cstheme="minorHAnsi"/>
          <w:sz w:val="24"/>
          <w:szCs w:val="24"/>
          <w:u w:val="single"/>
          <w:lang w:val="fr-FR"/>
        </w:rPr>
      </w:pPr>
    </w:p>
    <w:p w14:paraId="7F7EC6F3" w14:textId="77777777" w:rsidR="00D4747C" w:rsidRPr="006E2F26" w:rsidRDefault="00A20063"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1. </w:t>
      </w:r>
      <w:r w:rsidR="00D4747C" w:rsidRPr="006E2F26">
        <w:rPr>
          <w:rFonts w:asciiTheme="minorHAnsi" w:hAnsiTheme="minorHAnsi" w:cstheme="minorHAnsi"/>
          <w:sz w:val="24"/>
          <w:szCs w:val="24"/>
          <w:lang w:val="fr-FR"/>
        </w:rPr>
        <w:t>Lorsque la const</w:t>
      </w:r>
      <w:r w:rsidR="005A4E11" w:rsidRPr="006E2F26">
        <w:rPr>
          <w:rFonts w:asciiTheme="minorHAnsi" w:hAnsiTheme="minorHAnsi" w:cstheme="minorHAnsi"/>
          <w:sz w:val="24"/>
          <w:szCs w:val="24"/>
          <w:lang w:val="fr-FR"/>
        </w:rPr>
        <w:t>itutionnalité d’une norme de nature légis</w:t>
      </w:r>
      <w:r w:rsidR="00D4747C" w:rsidRPr="006E2F26">
        <w:rPr>
          <w:rFonts w:asciiTheme="minorHAnsi" w:hAnsiTheme="minorHAnsi" w:cstheme="minorHAnsi"/>
          <w:sz w:val="24"/>
          <w:szCs w:val="24"/>
          <w:lang w:val="fr-FR"/>
        </w:rPr>
        <w:t>lative est contestée dans le cadre d’un litige dont a à connaître le juge judiciaire, il adresse à la Cour constitutionnelle une question préjudicielle. C’est à celle-ci de se prononcer sur l’inconstitutionnalité soulevée.</w:t>
      </w:r>
      <w:r w:rsidR="005A4E11" w:rsidRPr="006E2F26">
        <w:rPr>
          <w:rFonts w:asciiTheme="minorHAnsi" w:hAnsiTheme="minorHAnsi" w:cstheme="minorHAnsi"/>
          <w:sz w:val="24"/>
          <w:szCs w:val="24"/>
          <w:lang w:val="fr-FR"/>
        </w:rPr>
        <w:t xml:space="preserve"> Le contrôle </w:t>
      </w:r>
      <w:r w:rsidR="00EA1534" w:rsidRPr="006E2F26">
        <w:rPr>
          <w:rFonts w:asciiTheme="minorHAnsi" w:hAnsiTheme="minorHAnsi" w:cstheme="minorHAnsi"/>
          <w:sz w:val="24"/>
          <w:szCs w:val="24"/>
          <w:lang w:val="fr-FR"/>
        </w:rPr>
        <w:t>effectué</w:t>
      </w:r>
      <w:r w:rsidR="005A4E11" w:rsidRPr="006E2F26">
        <w:rPr>
          <w:rFonts w:asciiTheme="minorHAnsi" w:hAnsiTheme="minorHAnsi" w:cstheme="minorHAnsi"/>
          <w:sz w:val="24"/>
          <w:szCs w:val="24"/>
          <w:lang w:val="fr-FR"/>
        </w:rPr>
        <w:t xml:space="preserve"> par la Cour constitutionnelle est alors un contrôle objectif : il porte sur la norme de nature </w:t>
      </w:r>
      <w:r w:rsidR="00A067FD" w:rsidRPr="006E2F26">
        <w:rPr>
          <w:rFonts w:asciiTheme="minorHAnsi" w:hAnsiTheme="minorHAnsi" w:cstheme="minorHAnsi"/>
          <w:sz w:val="24"/>
          <w:szCs w:val="24"/>
          <w:lang w:val="fr-FR"/>
        </w:rPr>
        <w:t xml:space="preserve">législative </w:t>
      </w:r>
      <w:r w:rsidR="005A4E11" w:rsidRPr="006E2F26">
        <w:rPr>
          <w:rFonts w:asciiTheme="minorHAnsi" w:hAnsiTheme="minorHAnsi" w:cstheme="minorHAnsi"/>
          <w:sz w:val="24"/>
          <w:szCs w:val="24"/>
          <w:lang w:val="fr-FR"/>
        </w:rPr>
        <w:t>dont la constitutionnalité est mise en cause</w:t>
      </w:r>
      <w:r w:rsidR="005A4E11" w:rsidRPr="006E2F26">
        <w:rPr>
          <w:rStyle w:val="Appelnotedebasdep"/>
          <w:rFonts w:asciiTheme="minorHAnsi" w:hAnsiTheme="minorHAnsi" w:cstheme="minorHAnsi"/>
          <w:sz w:val="24"/>
          <w:szCs w:val="24"/>
          <w:lang w:val="fr-FR"/>
        </w:rPr>
        <w:footnoteReference w:id="8"/>
      </w:r>
      <w:r w:rsidR="005A4E11" w:rsidRPr="006E2F26">
        <w:rPr>
          <w:rFonts w:asciiTheme="minorHAnsi" w:hAnsiTheme="minorHAnsi" w:cstheme="minorHAnsi"/>
          <w:sz w:val="24"/>
          <w:szCs w:val="24"/>
          <w:lang w:val="fr-FR"/>
        </w:rPr>
        <w:t>.</w:t>
      </w:r>
    </w:p>
    <w:p w14:paraId="3DA344C6" w14:textId="77777777" w:rsidR="00D4747C" w:rsidRPr="006E2F26" w:rsidRDefault="00D4747C" w:rsidP="00340823">
      <w:pPr>
        <w:pStyle w:val="Textebrut"/>
        <w:tabs>
          <w:tab w:val="left" w:pos="1843"/>
        </w:tabs>
        <w:jc w:val="both"/>
        <w:rPr>
          <w:rFonts w:asciiTheme="minorHAnsi" w:hAnsiTheme="minorHAnsi" w:cstheme="minorHAnsi"/>
          <w:sz w:val="24"/>
          <w:szCs w:val="24"/>
          <w:lang w:val="fr-FR"/>
        </w:rPr>
      </w:pPr>
    </w:p>
    <w:p w14:paraId="3B923A5E" w14:textId="77777777" w:rsidR="007E1895" w:rsidRPr="006E2F26" w:rsidRDefault="00E21CB5"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2. </w:t>
      </w:r>
      <w:r w:rsidR="00A20063" w:rsidRPr="006E2F26">
        <w:rPr>
          <w:rFonts w:asciiTheme="minorHAnsi" w:hAnsiTheme="minorHAnsi" w:cstheme="minorHAnsi"/>
          <w:sz w:val="24"/>
          <w:szCs w:val="24"/>
          <w:lang w:val="fr-FR"/>
        </w:rPr>
        <w:t>Lorsqu’une disposition</w:t>
      </w:r>
      <w:r w:rsidR="007E1895" w:rsidRPr="006E2F26">
        <w:rPr>
          <w:rFonts w:asciiTheme="minorHAnsi" w:hAnsiTheme="minorHAnsi" w:cstheme="minorHAnsi"/>
          <w:sz w:val="24"/>
          <w:szCs w:val="24"/>
          <w:lang w:val="fr-FR"/>
        </w:rPr>
        <w:t xml:space="preserve"> règlementaire, cette fois, est considérée comme illégale, voire inconstitutionnelle, le</w:t>
      </w:r>
      <w:r w:rsidR="00277609" w:rsidRPr="006E2F26">
        <w:rPr>
          <w:rFonts w:asciiTheme="minorHAnsi" w:hAnsiTheme="minorHAnsi" w:cstheme="minorHAnsi"/>
          <w:sz w:val="24"/>
          <w:szCs w:val="24"/>
          <w:lang w:val="fr-FR"/>
        </w:rPr>
        <w:t xml:space="preserve"> Juge ne pourra pas l’appliquer. Il s’agit d’un </w:t>
      </w:r>
      <w:r w:rsidR="00277609" w:rsidRPr="006E2F26">
        <w:rPr>
          <w:rFonts w:asciiTheme="minorHAnsi" w:hAnsiTheme="minorHAnsi" w:cstheme="minorHAnsi"/>
          <w:iCs/>
          <w:sz w:val="24"/>
          <w:szCs w:val="24"/>
          <w:lang w:val="fr-FR"/>
        </w:rPr>
        <w:t>contrôle d’ordre public</w:t>
      </w:r>
      <w:r w:rsidR="00277609" w:rsidRPr="006E2F26">
        <w:rPr>
          <w:rStyle w:val="Appelnotedebasdep"/>
          <w:rFonts w:asciiTheme="minorHAnsi" w:hAnsiTheme="minorHAnsi" w:cstheme="minorHAnsi"/>
          <w:iCs/>
          <w:sz w:val="24"/>
          <w:szCs w:val="24"/>
          <w:lang w:val="fr-FR"/>
        </w:rPr>
        <w:footnoteReference w:id="9"/>
      </w:r>
      <w:r w:rsidR="00277609" w:rsidRPr="006E2F26">
        <w:rPr>
          <w:rFonts w:asciiTheme="minorHAnsi" w:hAnsiTheme="minorHAnsi" w:cstheme="minorHAnsi"/>
          <w:sz w:val="24"/>
          <w:szCs w:val="24"/>
          <w:lang w:val="fr-FR"/>
        </w:rPr>
        <w:t xml:space="preserve"> prévu</w:t>
      </w:r>
      <w:r w:rsidR="007E1895" w:rsidRPr="006E2F26">
        <w:rPr>
          <w:rFonts w:asciiTheme="minorHAnsi" w:hAnsiTheme="minorHAnsi" w:cstheme="minorHAnsi"/>
          <w:sz w:val="24"/>
          <w:szCs w:val="24"/>
          <w:lang w:val="fr-FR"/>
        </w:rPr>
        <w:t xml:space="preserve"> </w:t>
      </w:r>
      <w:r w:rsidR="00277609" w:rsidRPr="006E2F26">
        <w:rPr>
          <w:rFonts w:asciiTheme="minorHAnsi" w:hAnsiTheme="minorHAnsi" w:cstheme="minorHAnsi"/>
          <w:sz w:val="24"/>
          <w:szCs w:val="24"/>
          <w:lang w:val="fr-FR"/>
        </w:rPr>
        <w:t>par</w:t>
      </w:r>
      <w:r w:rsidR="007E1895" w:rsidRPr="006E2F26">
        <w:rPr>
          <w:rFonts w:asciiTheme="minorHAnsi" w:hAnsiTheme="minorHAnsi" w:cstheme="minorHAnsi"/>
          <w:sz w:val="24"/>
          <w:szCs w:val="24"/>
          <w:lang w:val="fr-FR"/>
        </w:rPr>
        <w:t xml:space="preserve"> l’article 159 de la Constitution</w:t>
      </w:r>
      <w:r w:rsidR="007E1895" w:rsidRPr="006E2F26">
        <w:rPr>
          <w:rStyle w:val="Appelnotedebasdep"/>
          <w:rFonts w:asciiTheme="minorHAnsi" w:hAnsiTheme="minorHAnsi" w:cstheme="minorHAnsi"/>
          <w:sz w:val="24"/>
          <w:szCs w:val="24"/>
          <w:lang w:val="fr-FR"/>
        </w:rPr>
        <w:footnoteReference w:id="10"/>
      </w:r>
      <w:r w:rsidR="007E1895" w:rsidRPr="006E2F26">
        <w:rPr>
          <w:rFonts w:asciiTheme="minorHAnsi" w:hAnsiTheme="minorHAnsi" w:cstheme="minorHAnsi"/>
          <w:sz w:val="24"/>
          <w:szCs w:val="24"/>
          <w:lang w:val="fr-FR"/>
        </w:rPr>
        <w:t xml:space="preserve">. </w:t>
      </w:r>
    </w:p>
    <w:p w14:paraId="73D60B33" w14:textId="77777777" w:rsidR="007E1895" w:rsidRPr="006E2F26" w:rsidRDefault="007E1895" w:rsidP="00340823">
      <w:pPr>
        <w:pStyle w:val="Textebrut"/>
        <w:tabs>
          <w:tab w:val="left" w:pos="1843"/>
        </w:tabs>
        <w:jc w:val="both"/>
        <w:rPr>
          <w:rFonts w:asciiTheme="minorHAnsi" w:hAnsiTheme="minorHAnsi" w:cstheme="minorHAnsi"/>
          <w:sz w:val="24"/>
          <w:szCs w:val="24"/>
          <w:lang w:val="fr-FR"/>
        </w:rPr>
      </w:pPr>
    </w:p>
    <w:p w14:paraId="7578A8AC" w14:textId="77777777" w:rsidR="009946CC" w:rsidRPr="006E2F26" w:rsidRDefault="007E1895"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Le juge a donc l’obligation de vérifier qu’un arrêté royal</w:t>
      </w:r>
      <w:r w:rsidR="009946CC" w:rsidRPr="006E2F26">
        <w:rPr>
          <w:rFonts w:asciiTheme="minorHAnsi" w:hAnsiTheme="minorHAnsi" w:cstheme="minorHAnsi"/>
          <w:sz w:val="24"/>
          <w:szCs w:val="24"/>
          <w:lang w:val="fr-FR"/>
        </w:rPr>
        <w:t xml:space="preserve"> </w:t>
      </w:r>
      <w:r w:rsidRPr="006E2F26">
        <w:rPr>
          <w:rFonts w:asciiTheme="minorHAnsi" w:hAnsiTheme="minorHAnsi" w:cstheme="minorHAnsi"/>
          <w:sz w:val="24"/>
          <w:szCs w:val="24"/>
          <w:lang w:val="fr-FR"/>
        </w:rPr>
        <w:t>ne viole pas de dispositions légales ou constitutionnelles</w:t>
      </w:r>
      <w:r w:rsidR="000A37D7" w:rsidRPr="006E2F26">
        <w:rPr>
          <w:rFonts w:asciiTheme="minorHAnsi" w:hAnsiTheme="minorHAnsi" w:cstheme="minorHAnsi"/>
          <w:sz w:val="24"/>
          <w:szCs w:val="24"/>
          <w:lang w:val="fr-FR"/>
        </w:rPr>
        <w:t xml:space="preserve">, notamment </w:t>
      </w:r>
      <w:r w:rsidR="00E21CB5" w:rsidRPr="006E2F26">
        <w:rPr>
          <w:rFonts w:asciiTheme="minorHAnsi" w:hAnsiTheme="minorHAnsi" w:cstheme="minorHAnsi"/>
          <w:sz w:val="24"/>
          <w:szCs w:val="24"/>
          <w:lang w:val="fr-FR"/>
        </w:rPr>
        <w:t>les</w:t>
      </w:r>
      <w:r w:rsidR="000A37D7" w:rsidRPr="006E2F26">
        <w:rPr>
          <w:rFonts w:asciiTheme="minorHAnsi" w:hAnsiTheme="minorHAnsi" w:cstheme="minorHAnsi"/>
          <w:sz w:val="24"/>
          <w:szCs w:val="24"/>
          <w:lang w:val="fr-FR"/>
        </w:rPr>
        <w:t xml:space="preserve"> articles 10 et 11 de la Constitution qui établissent les principes d’égalité et de non-discrimination</w:t>
      </w:r>
      <w:r w:rsidRPr="006E2F26">
        <w:rPr>
          <w:rFonts w:asciiTheme="minorHAnsi" w:hAnsiTheme="minorHAnsi" w:cstheme="minorHAnsi"/>
          <w:sz w:val="24"/>
          <w:szCs w:val="24"/>
          <w:lang w:val="fr-FR"/>
        </w:rPr>
        <w:t>.</w:t>
      </w:r>
    </w:p>
    <w:p w14:paraId="30EBC625" w14:textId="77777777" w:rsidR="009946CC" w:rsidRPr="006E2F26" w:rsidRDefault="009946CC" w:rsidP="00340823">
      <w:pPr>
        <w:pStyle w:val="Textebrut"/>
        <w:tabs>
          <w:tab w:val="left" w:pos="1843"/>
        </w:tabs>
        <w:jc w:val="both"/>
        <w:rPr>
          <w:rFonts w:asciiTheme="minorHAnsi" w:hAnsiTheme="minorHAnsi" w:cstheme="minorHAnsi"/>
          <w:sz w:val="24"/>
          <w:szCs w:val="24"/>
          <w:lang w:val="fr-FR"/>
        </w:rPr>
      </w:pPr>
    </w:p>
    <w:p w14:paraId="601D566D" w14:textId="34D07F1C" w:rsidR="00E21CB5" w:rsidRPr="006E2F26" w:rsidRDefault="009946CC"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C’est ce contrôle que </w:t>
      </w:r>
      <w:r w:rsidR="008C7B4A" w:rsidRPr="006E2F26">
        <w:rPr>
          <w:rFonts w:asciiTheme="minorHAnsi" w:hAnsiTheme="minorHAnsi" w:cstheme="minorHAnsi"/>
          <w:sz w:val="24"/>
          <w:szCs w:val="24"/>
          <w:lang w:val="fr-FR"/>
        </w:rPr>
        <w:t>M.</w:t>
      </w:r>
      <w:r w:rsidR="00322265" w:rsidRPr="006E2F26">
        <w:rPr>
          <w:rFonts w:asciiTheme="minorHAnsi" w:hAnsiTheme="minorHAnsi" w:cstheme="minorHAnsi"/>
          <w:sz w:val="24"/>
          <w:szCs w:val="24"/>
          <w:lang w:val="fr-FR"/>
        </w:rPr>
        <w:t xml:space="preserve"> </w:t>
      </w:r>
      <w:proofErr w:type="spellStart"/>
      <w:r w:rsidR="00961229">
        <w:rPr>
          <w:rFonts w:asciiTheme="minorHAnsi" w:hAnsiTheme="minorHAnsi" w:cstheme="minorHAnsi"/>
          <w:sz w:val="24"/>
          <w:szCs w:val="24"/>
          <w:lang w:val="fr-FR"/>
        </w:rPr>
        <w:t>M</w:t>
      </w:r>
      <w:proofErr w:type="spellEnd"/>
      <w:r w:rsidRPr="006E2F26">
        <w:rPr>
          <w:rFonts w:asciiTheme="minorHAnsi" w:hAnsiTheme="minorHAnsi" w:cstheme="minorHAnsi"/>
          <w:sz w:val="24"/>
          <w:szCs w:val="24"/>
          <w:lang w:val="fr-FR"/>
        </w:rPr>
        <w:t xml:space="preserve"> demande a</w:t>
      </w:r>
      <w:r w:rsidR="005F2A20" w:rsidRPr="006E2F26">
        <w:rPr>
          <w:rFonts w:asciiTheme="minorHAnsi" w:hAnsiTheme="minorHAnsi" w:cstheme="minorHAnsi"/>
          <w:sz w:val="24"/>
          <w:szCs w:val="24"/>
          <w:lang w:val="fr-FR"/>
        </w:rPr>
        <w:t>u Tribunal d’exercer :</w:t>
      </w:r>
      <w:r w:rsidR="00E201F9" w:rsidRPr="006E2F26">
        <w:rPr>
          <w:rFonts w:asciiTheme="minorHAnsi" w:hAnsiTheme="minorHAnsi" w:cstheme="minorHAnsi"/>
          <w:sz w:val="24"/>
          <w:szCs w:val="24"/>
          <w:lang w:val="fr-FR"/>
        </w:rPr>
        <w:t xml:space="preserve"> vérifi</w:t>
      </w:r>
      <w:r w:rsidR="005F2A20" w:rsidRPr="006E2F26">
        <w:rPr>
          <w:rFonts w:asciiTheme="minorHAnsi" w:hAnsiTheme="minorHAnsi" w:cstheme="minorHAnsi"/>
          <w:sz w:val="24"/>
          <w:szCs w:val="24"/>
          <w:lang w:val="fr-FR"/>
        </w:rPr>
        <w:t>er</w:t>
      </w:r>
      <w:r w:rsidRPr="006E2F26">
        <w:rPr>
          <w:rFonts w:asciiTheme="minorHAnsi" w:hAnsiTheme="minorHAnsi" w:cstheme="minorHAnsi"/>
          <w:sz w:val="24"/>
          <w:szCs w:val="24"/>
          <w:lang w:val="fr-FR"/>
        </w:rPr>
        <w:t xml:space="preserve"> la conformité de l’arrêté royal du 14 novembre 2012 qui s’applique aux entraîneurs de football, de basketball, de volleyball et du cyclisme mais exclut les entraîneurs d’autres disciplines sportives, comme </w:t>
      </w:r>
      <w:r w:rsidR="008C7B4A" w:rsidRPr="006E2F26">
        <w:rPr>
          <w:rFonts w:asciiTheme="minorHAnsi" w:hAnsiTheme="minorHAnsi" w:cstheme="minorHAnsi"/>
          <w:sz w:val="24"/>
          <w:szCs w:val="24"/>
          <w:lang w:val="fr-FR"/>
        </w:rPr>
        <w:t>M.</w:t>
      </w:r>
      <w:r w:rsidR="00322265" w:rsidRPr="006E2F26">
        <w:rPr>
          <w:rFonts w:asciiTheme="minorHAnsi" w:hAnsiTheme="minorHAnsi" w:cstheme="minorHAnsi"/>
          <w:sz w:val="24"/>
          <w:szCs w:val="24"/>
          <w:lang w:val="fr-FR"/>
        </w:rPr>
        <w:t xml:space="preserve"> </w:t>
      </w:r>
      <w:r w:rsidR="00961229">
        <w:rPr>
          <w:rFonts w:asciiTheme="minorHAnsi" w:hAnsiTheme="minorHAnsi" w:cstheme="minorHAnsi"/>
          <w:sz w:val="24"/>
          <w:szCs w:val="24"/>
          <w:lang w:val="fr-FR"/>
        </w:rPr>
        <w:t>M</w:t>
      </w:r>
      <w:r w:rsidRPr="006E2F26">
        <w:rPr>
          <w:rFonts w:asciiTheme="minorHAnsi" w:hAnsiTheme="minorHAnsi" w:cstheme="minorHAnsi"/>
          <w:sz w:val="24"/>
          <w:szCs w:val="24"/>
          <w:lang w:val="fr-FR"/>
        </w:rPr>
        <w:t xml:space="preserve"> entraîneur de tennis de table.</w:t>
      </w:r>
    </w:p>
    <w:p w14:paraId="60897D65" w14:textId="77777777" w:rsidR="00E21CB5" w:rsidRPr="006E2F26" w:rsidRDefault="00E21CB5" w:rsidP="00340823">
      <w:pPr>
        <w:pStyle w:val="Textebrut"/>
        <w:tabs>
          <w:tab w:val="left" w:pos="1843"/>
        </w:tabs>
        <w:jc w:val="both"/>
        <w:rPr>
          <w:rFonts w:asciiTheme="minorHAnsi" w:hAnsiTheme="minorHAnsi" w:cstheme="minorHAnsi"/>
          <w:sz w:val="24"/>
          <w:szCs w:val="24"/>
          <w:lang w:val="fr-FR"/>
        </w:rPr>
      </w:pPr>
    </w:p>
    <w:p w14:paraId="159C77D1" w14:textId="77777777" w:rsidR="00F4704A" w:rsidRPr="006E2F26" w:rsidRDefault="00E21CB5" w:rsidP="00340823">
      <w:pPr>
        <w:pStyle w:val="Textebrut"/>
        <w:tabs>
          <w:tab w:val="left" w:pos="0"/>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3.</w:t>
      </w:r>
      <w:r w:rsidR="0084650F" w:rsidRPr="006E2F26">
        <w:rPr>
          <w:rFonts w:asciiTheme="minorHAnsi" w:hAnsiTheme="minorHAnsi" w:cstheme="minorHAnsi"/>
          <w:sz w:val="24"/>
          <w:szCs w:val="24"/>
          <w:lang w:val="fr-FR"/>
        </w:rPr>
        <w:t xml:space="preserve"> </w:t>
      </w:r>
      <w:r w:rsidR="00646036" w:rsidRPr="006E2F26">
        <w:rPr>
          <w:rFonts w:asciiTheme="minorHAnsi" w:hAnsiTheme="minorHAnsi" w:cstheme="minorHAnsi"/>
          <w:sz w:val="24"/>
          <w:szCs w:val="24"/>
          <w:lang w:val="fr-FR"/>
        </w:rPr>
        <w:t>S</w:t>
      </w:r>
      <w:r w:rsidR="001C6043" w:rsidRPr="006E2F26">
        <w:rPr>
          <w:rFonts w:asciiTheme="minorHAnsi" w:hAnsiTheme="minorHAnsi" w:cstheme="minorHAnsi"/>
          <w:sz w:val="24"/>
          <w:szCs w:val="24"/>
          <w:lang w:val="fr-FR"/>
        </w:rPr>
        <w:t>elon l'enseignement constant de la Cour Constitutionnelle, les règles constitutio</w:t>
      </w:r>
      <w:r w:rsidR="009946CC" w:rsidRPr="006E2F26">
        <w:rPr>
          <w:rFonts w:asciiTheme="minorHAnsi" w:hAnsiTheme="minorHAnsi" w:cstheme="minorHAnsi"/>
          <w:sz w:val="24"/>
          <w:szCs w:val="24"/>
          <w:lang w:val="fr-FR"/>
        </w:rPr>
        <w:t xml:space="preserve">nnelles de l'égalité et de la </w:t>
      </w:r>
      <w:r w:rsidR="001C6043" w:rsidRPr="006E2F26">
        <w:rPr>
          <w:rFonts w:asciiTheme="minorHAnsi" w:hAnsiTheme="minorHAnsi" w:cstheme="minorHAnsi"/>
          <w:sz w:val="24"/>
          <w:szCs w:val="24"/>
          <w:lang w:val="fr-FR"/>
        </w:rPr>
        <w:t xml:space="preserve">non-discrimination </w:t>
      </w:r>
      <w:r w:rsidR="00F4704A" w:rsidRPr="006E2F26">
        <w:rPr>
          <w:rFonts w:asciiTheme="minorHAnsi" w:hAnsiTheme="minorHAnsi" w:cstheme="minorHAnsi"/>
          <w:sz w:val="24"/>
          <w:szCs w:val="24"/>
          <w:lang w:val="fr-FR"/>
        </w:rPr>
        <w:t xml:space="preserve">n'excluent pas qu'une différence de traitement soit établie entre des catégories de personnes pour autant qu'elle repose sur un critère objectif et qu'elle </w:t>
      </w:r>
      <w:r w:rsidR="0004252D" w:rsidRPr="006E2F26">
        <w:rPr>
          <w:rFonts w:asciiTheme="minorHAnsi" w:hAnsiTheme="minorHAnsi" w:cstheme="minorHAnsi"/>
          <w:sz w:val="24"/>
          <w:szCs w:val="24"/>
          <w:lang w:val="fr-FR"/>
        </w:rPr>
        <w:t>est</w:t>
      </w:r>
      <w:r w:rsidR="00F4704A" w:rsidRPr="006E2F26">
        <w:rPr>
          <w:rFonts w:asciiTheme="minorHAnsi" w:hAnsiTheme="minorHAnsi" w:cstheme="minorHAnsi"/>
          <w:sz w:val="24"/>
          <w:szCs w:val="24"/>
          <w:lang w:val="fr-FR"/>
        </w:rPr>
        <w:t xml:space="preserve"> raisonnablement justifiée. </w:t>
      </w:r>
      <w:r w:rsidR="00A70830" w:rsidRPr="006E2F26">
        <w:rPr>
          <w:rFonts w:asciiTheme="minorHAnsi" w:hAnsiTheme="minorHAnsi" w:cstheme="minorHAnsi"/>
          <w:sz w:val="24"/>
          <w:szCs w:val="24"/>
          <w:lang w:val="fr-FR"/>
        </w:rPr>
        <w:t>Ces règles sont violées</w:t>
      </w:r>
      <w:r w:rsidR="00F4704A" w:rsidRPr="006E2F26">
        <w:rPr>
          <w:rFonts w:asciiTheme="minorHAnsi" w:hAnsiTheme="minorHAnsi" w:cstheme="minorHAnsi"/>
          <w:sz w:val="24"/>
          <w:szCs w:val="24"/>
          <w:lang w:val="fr-FR"/>
        </w:rPr>
        <w:t xml:space="preserve"> lorsqu'il n'existe pas de rapport raisonnable de proportionnalité entre les moyens employés et le but </w:t>
      </w:r>
      <w:r w:rsidR="00EA1534" w:rsidRPr="006E2F26">
        <w:rPr>
          <w:rFonts w:asciiTheme="minorHAnsi" w:hAnsiTheme="minorHAnsi" w:cstheme="minorHAnsi"/>
          <w:sz w:val="24"/>
          <w:szCs w:val="24"/>
          <w:lang w:val="fr-FR"/>
        </w:rPr>
        <w:t xml:space="preserve">visé. </w:t>
      </w:r>
    </w:p>
    <w:p w14:paraId="2EAD4486" w14:textId="77777777" w:rsidR="001C6043" w:rsidRPr="006E2F26" w:rsidRDefault="001C6043" w:rsidP="00340823">
      <w:pPr>
        <w:pStyle w:val="Textebrut"/>
        <w:tabs>
          <w:tab w:val="left" w:pos="1843"/>
        </w:tabs>
        <w:jc w:val="both"/>
        <w:rPr>
          <w:rFonts w:asciiTheme="minorHAnsi" w:hAnsiTheme="minorHAnsi" w:cstheme="minorHAnsi"/>
          <w:sz w:val="24"/>
          <w:szCs w:val="24"/>
          <w:lang w:val="fr-FR"/>
        </w:rPr>
      </w:pPr>
    </w:p>
    <w:p w14:paraId="482A99FA" w14:textId="77777777" w:rsidR="001C6043" w:rsidRPr="006E2F26" w:rsidRDefault="001C6043"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L'examen de l'existence d'une discrimination comporte donc les étapes suivantes :</w:t>
      </w:r>
    </w:p>
    <w:p w14:paraId="2561E8BC" w14:textId="77777777" w:rsidR="001C6043" w:rsidRPr="006E2F26" w:rsidRDefault="001C6043" w:rsidP="00340823">
      <w:pPr>
        <w:pStyle w:val="Textebrut"/>
        <w:numPr>
          <w:ilvl w:val="0"/>
          <w:numId w:val="11"/>
        </w:numPr>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Les catégories de personnes sont-elles comparables ?</w:t>
      </w:r>
    </w:p>
    <w:p w14:paraId="382A30C4" w14:textId="77777777" w:rsidR="001C6043" w:rsidRPr="006E2F26" w:rsidRDefault="001C6043" w:rsidP="00340823">
      <w:pPr>
        <w:pStyle w:val="Textebrut"/>
        <w:numPr>
          <w:ilvl w:val="0"/>
          <w:numId w:val="11"/>
        </w:numPr>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Existe-t-il une différence de traitement entre des personnes se trouvant dans la même situation ?</w:t>
      </w:r>
    </w:p>
    <w:p w14:paraId="459D9915" w14:textId="77777777" w:rsidR="001C6043" w:rsidRPr="006E2F26" w:rsidRDefault="001C6043" w:rsidP="00340823">
      <w:pPr>
        <w:pStyle w:val="Textebrut"/>
        <w:numPr>
          <w:ilvl w:val="0"/>
          <w:numId w:val="11"/>
        </w:numPr>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Si oui, la différence de traitement est-elle :</w:t>
      </w:r>
    </w:p>
    <w:p w14:paraId="4A069837" w14:textId="77777777" w:rsidR="001C6043" w:rsidRPr="006E2F26" w:rsidRDefault="001C6043" w:rsidP="00340823">
      <w:pPr>
        <w:pStyle w:val="Textebrut"/>
        <w:numPr>
          <w:ilvl w:val="0"/>
          <w:numId w:val="12"/>
        </w:numPr>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fondée sur un critère objectif ?</w:t>
      </w:r>
    </w:p>
    <w:p w14:paraId="7A0A4ACC" w14:textId="77777777" w:rsidR="001C6043" w:rsidRPr="006E2F26" w:rsidRDefault="001C6043" w:rsidP="00340823">
      <w:pPr>
        <w:pStyle w:val="Textebrut"/>
        <w:numPr>
          <w:ilvl w:val="0"/>
          <w:numId w:val="12"/>
        </w:numPr>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justifiée ?</w:t>
      </w:r>
    </w:p>
    <w:p w14:paraId="77E4659F" w14:textId="77777777" w:rsidR="001C6043" w:rsidRPr="006E2F26" w:rsidRDefault="001C6043" w:rsidP="00340823">
      <w:pPr>
        <w:pStyle w:val="Textebrut"/>
        <w:numPr>
          <w:ilvl w:val="0"/>
          <w:numId w:val="12"/>
        </w:numPr>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lastRenderedPageBreak/>
        <w:t>proportionnée par rapport au but poursuivi ?</w:t>
      </w:r>
    </w:p>
    <w:p w14:paraId="101B8C29" w14:textId="77777777" w:rsidR="006549AB" w:rsidRPr="006E2F26" w:rsidRDefault="006549AB" w:rsidP="00340823">
      <w:pPr>
        <w:pStyle w:val="Textebrut"/>
        <w:tabs>
          <w:tab w:val="left" w:pos="1843"/>
        </w:tabs>
        <w:jc w:val="both"/>
        <w:rPr>
          <w:rFonts w:asciiTheme="minorHAnsi" w:hAnsiTheme="minorHAnsi" w:cstheme="minorHAnsi"/>
          <w:sz w:val="24"/>
          <w:szCs w:val="24"/>
          <w:lang w:val="fr-FR"/>
        </w:rPr>
      </w:pPr>
    </w:p>
    <w:p w14:paraId="0BDCBD11" w14:textId="77777777" w:rsidR="00B35415" w:rsidRPr="006E2F26" w:rsidRDefault="00476054"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Le Tribunal </w:t>
      </w:r>
      <w:r w:rsidR="00B35415" w:rsidRPr="006E2F26">
        <w:rPr>
          <w:rFonts w:asciiTheme="minorHAnsi" w:hAnsiTheme="minorHAnsi" w:cstheme="minorHAnsi"/>
          <w:sz w:val="24"/>
          <w:szCs w:val="24"/>
          <w:lang w:val="fr-FR"/>
        </w:rPr>
        <w:t xml:space="preserve">procède donc </w:t>
      </w:r>
      <w:r w:rsidRPr="006E2F26">
        <w:rPr>
          <w:rFonts w:asciiTheme="minorHAnsi" w:hAnsiTheme="minorHAnsi" w:cstheme="minorHAnsi"/>
          <w:sz w:val="24"/>
          <w:szCs w:val="24"/>
          <w:lang w:val="fr-FR"/>
        </w:rPr>
        <w:t xml:space="preserve">à cet examen </w:t>
      </w:r>
      <w:r w:rsidR="00B35415" w:rsidRPr="006E2F26">
        <w:rPr>
          <w:rFonts w:asciiTheme="minorHAnsi" w:hAnsiTheme="minorHAnsi" w:cstheme="minorHAnsi"/>
          <w:sz w:val="24"/>
          <w:szCs w:val="24"/>
          <w:lang w:val="fr-FR"/>
        </w:rPr>
        <w:t>sur base de ces différentes étapes :</w:t>
      </w:r>
    </w:p>
    <w:p w14:paraId="2E4DE32F" w14:textId="77777777" w:rsidR="00B35415" w:rsidRPr="006E2F26" w:rsidRDefault="00B35415" w:rsidP="00340823">
      <w:pPr>
        <w:pStyle w:val="Textebrut"/>
        <w:tabs>
          <w:tab w:val="left" w:pos="1843"/>
        </w:tabs>
        <w:jc w:val="both"/>
        <w:rPr>
          <w:rFonts w:asciiTheme="minorHAnsi" w:hAnsiTheme="minorHAnsi" w:cstheme="minorHAnsi"/>
          <w:sz w:val="24"/>
          <w:szCs w:val="24"/>
          <w:lang w:val="fr-FR"/>
        </w:rPr>
      </w:pPr>
    </w:p>
    <w:p w14:paraId="7D1149C7" w14:textId="77777777" w:rsidR="009946CC" w:rsidRPr="006E2F26" w:rsidRDefault="00B35415" w:rsidP="00340823">
      <w:pPr>
        <w:jc w:val="both"/>
        <w:rPr>
          <w:rFonts w:asciiTheme="minorHAnsi" w:eastAsia="Arial" w:hAnsiTheme="minorHAnsi" w:cstheme="minorHAnsi"/>
          <w:lang w:val="fr-FR"/>
        </w:rPr>
      </w:pPr>
      <w:r w:rsidRPr="006E2F26">
        <w:rPr>
          <w:rFonts w:asciiTheme="minorHAnsi" w:eastAsia="Arial" w:hAnsiTheme="minorHAnsi" w:cstheme="minorHAnsi"/>
          <w:lang w:val="fr-FR"/>
        </w:rPr>
        <w:t xml:space="preserve">a) </w:t>
      </w:r>
      <w:r w:rsidR="002F02A5" w:rsidRPr="006E2F26">
        <w:rPr>
          <w:rFonts w:asciiTheme="minorHAnsi" w:eastAsia="Arial" w:hAnsiTheme="minorHAnsi" w:cstheme="minorHAnsi"/>
          <w:lang w:val="fr-FR"/>
        </w:rPr>
        <w:t>Quant à savoir si la situation d’un entraîneur sportif de haut niveau qui exerce dans le sport du tennis de table est comparable à celle d’un entraîneur de haut niveau dans le cyclisme, le volleyball,</w:t>
      </w:r>
      <w:r w:rsidRPr="006E2F26">
        <w:rPr>
          <w:rFonts w:asciiTheme="minorHAnsi" w:eastAsia="Arial" w:hAnsiTheme="minorHAnsi" w:cstheme="minorHAnsi"/>
          <w:lang w:val="fr-FR"/>
        </w:rPr>
        <w:t xml:space="preserve"> le basketball ou le football, l</w:t>
      </w:r>
      <w:r w:rsidR="002F02A5" w:rsidRPr="006E2F26">
        <w:rPr>
          <w:rFonts w:asciiTheme="minorHAnsi" w:eastAsia="Arial" w:hAnsiTheme="minorHAnsi" w:cstheme="minorHAnsi"/>
          <w:lang w:val="fr-FR"/>
        </w:rPr>
        <w:t xml:space="preserve">a réponse </w:t>
      </w:r>
      <w:r w:rsidRPr="006E2F26">
        <w:rPr>
          <w:rFonts w:asciiTheme="minorHAnsi" w:eastAsia="Arial" w:hAnsiTheme="minorHAnsi" w:cstheme="minorHAnsi"/>
          <w:lang w:val="fr-FR"/>
        </w:rPr>
        <w:t xml:space="preserve">du Tribunal </w:t>
      </w:r>
      <w:r w:rsidR="002F02A5" w:rsidRPr="006E2F26">
        <w:rPr>
          <w:rFonts w:asciiTheme="minorHAnsi" w:eastAsia="Arial" w:hAnsiTheme="minorHAnsi" w:cstheme="minorHAnsi"/>
          <w:lang w:val="fr-FR"/>
        </w:rPr>
        <w:t xml:space="preserve">est </w:t>
      </w:r>
      <w:r w:rsidRPr="006E2F26">
        <w:rPr>
          <w:rFonts w:asciiTheme="minorHAnsi" w:eastAsia="Arial" w:hAnsiTheme="minorHAnsi" w:cstheme="minorHAnsi"/>
          <w:lang w:val="fr-FR"/>
        </w:rPr>
        <w:t>positive.</w:t>
      </w:r>
    </w:p>
    <w:p w14:paraId="1B4850FB" w14:textId="77777777" w:rsidR="00B35415" w:rsidRPr="006E2F26" w:rsidRDefault="00B35415" w:rsidP="00340823">
      <w:pPr>
        <w:jc w:val="both"/>
        <w:rPr>
          <w:rFonts w:asciiTheme="minorHAnsi" w:eastAsia="Arial" w:hAnsiTheme="minorHAnsi" w:cstheme="minorHAnsi"/>
          <w:lang w:val="fr-FR"/>
        </w:rPr>
      </w:pPr>
    </w:p>
    <w:p w14:paraId="4057600F" w14:textId="77777777" w:rsidR="00B35415" w:rsidRPr="006E2F26" w:rsidRDefault="00322265" w:rsidP="00340823">
      <w:pPr>
        <w:jc w:val="both"/>
        <w:rPr>
          <w:rFonts w:asciiTheme="minorHAnsi" w:eastAsia="Arial" w:hAnsiTheme="minorHAnsi" w:cstheme="minorHAnsi"/>
          <w:lang w:val="fr-FR"/>
        </w:rPr>
      </w:pPr>
      <w:r w:rsidRPr="006E2F26">
        <w:rPr>
          <w:rFonts w:asciiTheme="minorHAnsi" w:eastAsia="Arial" w:hAnsiTheme="minorHAnsi" w:cstheme="minorHAnsi"/>
          <w:lang w:val="fr-FR"/>
        </w:rPr>
        <w:t>L’A.S.B.L.</w:t>
      </w:r>
      <w:r w:rsidR="00B35415" w:rsidRPr="006E2F26">
        <w:rPr>
          <w:rFonts w:asciiTheme="minorHAnsi" w:eastAsia="Arial" w:hAnsiTheme="minorHAnsi" w:cstheme="minorHAnsi"/>
          <w:lang w:val="fr-FR"/>
        </w:rPr>
        <w:t xml:space="preserve"> soutient que la situation des entraîneurs de tennis de table n’est pas comparable à celle des entraîneurs de football, de basketball, de volleyball et du cyclisme car ils n’entraînent pas des sportifs professionnels.</w:t>
      </w:r>
    </w:p>
    <w:p w14:paraId="730D0619" w14:textId="77777777" w:rsidR="00B35415" w:rsidRPr="006E2F26" w:rsidRDefault="00B35415" w:rsidP="00340823">
      <w:pPr>
        <w:jc w:val="both"/>
        <w:rPr>
          <w:rFonts w:asciiTheme="minorHAnsi" w:eastAsia="Arial" w:hAnsiTheme="minorHAnsi" w:cstheme="minorHAnsi"/>
          <w:lang w:val="fr-FR"/>
        </w:rPr>
      </w:pPr>
    </w:p>
    <w:p w14:paraId="55AFE770" w14:textId="77777777" w:rsidR="00B35415" w:rsidRPr="006E2F26" w:rsidRDefault="009421D5" w:rsidP="00340823">
      <w:pPr>
        <w:jc w:val="both"/>
        <w:rPr>
          <w:rFonts w:asciiTheme="minorHAnsi" w:eastAsia="Arial" w:hAnsiTheme="minorHAnsi" w:cstheme="minorHAnsi"/>
          <w:lang w:val="fr-FR"/>
        </w:rPr>
      </w:pPr>
      <w:r>
        <w:rPr>
          <w:rFonts w:asciiTheme="minorHAnsi" w:eastAsia="Arial" w:hAnsiTheme="minorHAnsi" w:cstheme="minorHAnsi"/>
          <w:lang w:val="fr-FR"/>
        </w:rPr>
        <w:t>En plus de n’être</w:t>
      </w:r>
      <w:r w:rsidRPr="009421D5">
        <w:rPr>
          <w:rFonts w:asciiTheme="minorHAnsi" w:eastAsia="Arial" w:hAnsiTheme="minorHAnsi" w:cstheme="minorHAnsi"/>
          <w:lang w:val="fr-FR"/>
        </w:rPr>
        <w:t xml:space="preserve"> établie par aucun élément objectif</w:t>
      </w:r>
      <w:r>
        <w:rPr>
          <w:rFonts w:asciiTheme="minorHAnsi" w:eastAsia="Arial" w:hAnsiTheme="minorHAnsi" w:cstheme="minorHAnsi"/>
          <w:lang w:val="fr-FR"/>
        </w:rPr>
        <w:t>, le Tribunal constate que</w:t>
      </w:r>
      <w:r w:rsidRPr="009421D5">
        <w:rPr>
          <w:rFonts w:asciiTheme="minorHAnsi" w:eastAsia="Arial" w:hAnsiTheme="minorHAnsi" w:cstheme="minorHAnsi"/>
          <w:lang w:val="fr-FR"/>
        </w:rPr>
        <w:t xml:space="preserve"> </w:t>
      </w:r>
      <w:r w:rsidR="00C76D85" w:rsidRPr="006E2F26">
        <w:rPr>
          <w:rFonts w:asciiTheme="minorHAnsi" w:eastAsia="Arial" w:hAnsiTheme="minorHAnsi" w:cstheme="minorHAnsi"/>
          <w:lang w:val="fr-FR"/>
        </w:rPr>
        <w:t>ni l’arrêté royal, ni la loi n</w:t>
      </w:r>
      <w:r w:rsidR="00B35415" w:rsidRPr="006E2F26">
        <w:rPr>
          <w:rFonts w:asciiTheme="minorHAnsi" w:eastAsia="Arial" w:hAnsiTheme="minorHAnsi" w:cstheme="minorHAnsi"/>
          <w:lang w:val="fr-FR"/>
        </w:rPr>
        <w:t>’établit cette condition d’application. La seule condition prévue par la loi du 24 février 1978 est une condition de rémunération en-dessous de laquelle elle ne sera pas appliquée.</w:t>
      </w:r>
    </w:p>
    <w:p w14:paraId="584EA55A" w14:textId="77777777" w:rsidR="00902E00" w:rsidRPr="006E2F26" w:rsidRDefault="00902E00" w:rsidP="00340823">
      <w:pPr>
        <w:jc w:val="both"/>
        <w:rPr>
          <w:rFonts w:asciiTheme="minorHAnsi" w:eastAsia="Arial" w:hAnsiTheme="minorHAnsi" w:cstheme="minorHAnsi"/>
          <w:lang w:val="fr-FR"/>
        </w:rPr>
      </w:pPr>
    </w:p>
    <w:p w14:paraId="5C2A5C96" w14:textId="1B781A8E" w:rsidR="00902E00" w:rsidRDefault="008C7B4A" w:rsidP="00340823">
      <w:pPr>
        <w:jc w:val="both"/>
        <w:rPr>
          <w:rFonts w:asciiTheme="minorHAnsi" w:eastAsia="Arial" w:hAnsiTheme="minorHAnsi" w:cstheme="minorHAnsi"/>
          <w:lang w:val="fr-FR"/>
        </w:rPr>
      </w:pPr>
      <w:r w:rsidRPr="006E2F26">
        <w:rPr>
          <w:rFonts w:asciiTheme="minorHAnsi" w:eastAsia="Arial" w:hAnsiTheme="minorHAnsi" w:cstheme="minorHAnsi"/>
          <w:lang w:val="fr-FR"/>
        </w:rPr>
        <w:t>M.</w:t>
      </w:r>
      <w:r w:rsidR="00322265" w:rsidRPr="006E2F26">
        <w:rPr>
          <w:rFonts w:asciiTheme="minorHAnsi" w:eastAsia="Arial" w:hAnsiTheme="minorHAnsi" w:cstheme="minorHAnsi"/>
          <w:lang w:val="fr-FR"/>
        </w:rPr>
        <w:t xml:space="preserve"> </w:t>
      </w:r>
      <w:r w:rsidR="00961229">
        <w:rPr>
          <w:rFonts w:asciiTheme="minorHAnsi" w:eastAsia="Arial" w:hAnsiTheme="minorHAnsi" w:cstheme="minorHAnsi"/>
          <w:lang w:val="fr-FR"/>
        </w:rPr>
        <w:t>M</w:t>
      </w:r>
      <w:r w:rsidR="00902E00" w:rsidRPr="006E2F26">
        <w:rPr>
          <w:rFonts w:asciiTheme="minorHAnsi" w:eastAsia="Arial" w:hAnsiTheme="minorHAnsi" w:cstheme="minorHAnsi"/>
          <w:lang w:val="fr-FR"/>
        </w:rPr>
        <w:t xml:space="preserve"> précise d’ailleurs, et ce n’est pas contesté, qu’il dépassait bien le montant de rémunération prévu par la loi du 24 février 1978</w:t>
      </w:r>
      <w:r w:rsidR="00B9113C" w:rsidRPr="006E2F26">
        <w:rPr>
          <w:rStyle w:val="Appelnotedebasdep"/>
          <w:rFonts w:asciiTheme="minorHAnsi" w:eastAsia="Arial" w:hAnsiTheme="minorHAnsi" w:cstheme="minorHAnsi"/>
          <w:lang w:val="fr-FR"/>
        </w:rPr>
        <w:footnoteReference w:id="11"/>
      </w:r>
      <w:r w:rsidR="00902E00" w:rsidRPr="006E2F26">
        <w:rPr>
          <w:rFonts w:asciiTheme="minorHAnsi" w:eastAsia="Arial" w:hAnsiTheme="minorHAnsi" w:cstheme="minorHAnsi"/>
          <w:lang w:val="fr-FR"/>
        </w:rPr>
        <w:t>.</w:t>
      </w:r>
    </w:p>
    <w:p w14:paraId="602EE019" w14:textId="77777777" w:rsidR="00B35415" w:rsidRPr="006E2F26" w:rsidRDefault="00B35415" w:rsidP="00340823">
      <w:pPr>
        <w:jc w:val="both"/>
        <w:rPr>
          <w:rFonts w:asciiTheme="minorHAnsi" w:eastAsia="Arial" w:hAnsiTheme="minorHAnsi" w:cstheme="minorHAnsi"/>
          <w:lang w:val="fr-FR"/>
        </w:rPr>
      </w:pPr>
    </w:p>
    <w:p w14:paraId="015817B9" w14:textId="77777777" w:rsidR="00B35415" w:rsidRPr="006E2F26" w:rsidRDefault="00B35415" w:rsidP="00340823">
      <w:pPr>
        <w:jc w:val="both"/>
        <w:rPr>
          <w:rFonts w:asciiTheme="minorHAnsi" w:eastAsia="Arial" w:hAnsiTheme="minorHAnsi" w:cstheme="minorHAnsi"/>
          <w:lang w:val="fr-FR"/>
        </w:rPr>
      </w:pPr>
      <w:r w:rsidRPr="006E2F26">
        <w:rPr>
          <w:rFonts w:asciiTheme="minorHAnsi" w:eastAsia="Arial" w:hAnsiTheme="minorHAnsi" w:cstheme="minorHAnsi"/>
          <w:lang w:val="fr-FR"/>
        </w:rPr>
        <w:t>Le Tribunal estime donc que la situation des entraîneurs de tennis de table est bien comparable aux entraîneurs des autres disciplines visées par l’arrêté royal du 12 novembre 2013</w:t>
      </w:r>
      <w:r w:rsidR="007B6BBE" w:rsidRPr="006E2F26">
        <w:rPr>
          <w:rFonts w:asciiTheme="minorHAnsi" w:eastAsia="Arial" w:hAnsiTheme="minorHAnsi" w:cstheme="minorHAnsi"/>
          <w:lang w:val="fr-FR"/>
        </w:rPr>
        <w:t xml:space="preserve"> dès que la condition de rémunération fixée par la loi du 24 février 1978 est rencontrée.</w:t>
      </w:r>
    </w:p>
    <w:p w14:paraId="2B92B241" w14:textId="77777777" w:rsidR="002F02A5" w:rsidRPr="006E2F26" w:rsidRDefault="002F02A5" w:rsidP="00340823">
      <w:pPr>
        <w:jc w:val="both"/>
        <w:rPr>
          <w:rFonts w:asciiTheme="minorHAnsi" w:eastAsia="Arial" w:hAnsiTheme="minorHAnsi" w:cstheme="minorHAnsi"/>
          <w:lang w:val="fr-FR"/>
        </w:rPr>
      </w:pPr>
    </w:p>
    <w:p w14:paraId="35CD3B3C" w14:textId="77777777" w:rsidR="003D6A8B" w:rsidRPr="006E2F26" w:rsidRDefault="00902E00" w:rsidP="00340823">
      <w:pPr>
        <w:jc w:val="both"/>
        <w:rPr>
          <w:rFonts w:asciiTheme="minorHAnsi" w:hAnsiTheme="minorHAnsi" w:cstheme="minorHAnsi"/>
          <w:lang w:val="fr-FR"/>
        </w:rPr>
      </w:pPr>
      <w:r w:rsidRPr="006E2F26">
        <w:rPr>
          <w:rFonts w:asciiTheme="minorHAnsi" w:hAnsiTheme="minorHAnsi" w:cstheme="minorHAnsi"/>
          <w:lang w:val="fr-FR"/>
        </w:rPr>
        <w:t>b) Il existe assurément</w:t>
      </w:r>
      <w:r w:rsidR="009946CC" w:rsidRPr="006E2F26">
        <w:rPr>
          <w:rFonts w:asciiTheme="minorHAnsi" w:hAnsiTheme="minorHAnsi" w:cstheme="minorHAnsi"/>
          <w:lang w:val="fr-FR"/>
        </w:rPr>
        <w:t xml:space="preserve"> une différence de traitement entre </w:t>
      </w:r>
      <w:r w:rsidRPr="006E2F26">
        <w:rPr>
          <w:rFonts w:asciiTheme="minorHAnsi" w:hAnsiTheme="minorHAnsi" w:cstheme="minorHAnsi"/>
          <w:lang w:val="fr-FR"/>
        </w:rPr>
        <w:t xml:space="preserve">les entraîneurs de tennis de table et les entraîneurs de football, de basketball, de volleyball et du cyclisme. </w:t>
      </w:r>
    </w:p>
    <w:p w14:paraId="1D66470D" w14:textId="77777777" w:rsidR="003D6A8B" w:rsidRPr="006E2F26" w:rsidRDefault="003D6A8B" w:rsidP="00340823">
      <w:pPr>
        <w:jc w:val="both"/>
        <w:rPr>
          <w:rFonts w:asciiTheme="minorHAnsi" w:hAnsiTheme="minorHAnsi" w:cstheme="minorHAnsi"/>
          <w:lang w:val="fr-FR"/>
        </w:rPr>
      </w:pPr>
    </w:p>
    <w:p w14:paraId="77C07C36" w14:textId="77777777" w:rsidR="009946CC" w:rsidRPr="006E2F26" w:rsidRDefault="00902E00" w:rsidP="00340823">
      <w:pPr>
        <w:jc w:val="both"/>
        <w:rPr>
          <w:rFonts w:asciiTheme="minorHAnsi" w:hAnsiTheme="minorHAnsi" w:cstheme="minorHAnsi"/>
          <w:lang w:val="fr-FR"/>
        </w:rPr>
      </w:pPr>
      <w:r w:rsidRPr="006E2F26">
        <w:rPr>
          <w:rFonts w:asciiTheme="minorHAnsi" w:hAnsiTheme="minorHAnsi" w:cstheme="minorHAnsi"/>
          <w:lang w:val="fr-FR"/>
        </w:rPr>
        <w:t xml:space="preserve">L’extension prévue par l’arrêté royal </w:t>
      </w:r>
      <w:r w:rsidR="003D6A8B" w:rsidRPr="006E2F26">
        <w:rPr>
          <w:rFonts w:asciiTheme="minorHAnsi" w:hAnsiTheme="minorHAnsi" w:cstheme="minorHAnsi"/>
          <w:lang w:val="fr-FR"/>
        </w:rPr>
        <w:t xml:space="preserve">du 12 novembre 2013 aux </w:t>
      </w:r>
      <w:r w:rsidR="009D63E2" w:rsidRPr="006E2F26">
        <w:rPr>
          <w:rFonts w:asciiTheme="minorHAnsi" w:hAnsiTheme="minorHAnsi" w:cstheme="minorHAnsi"/>
          <w:lang w:val="fr-FR"/>
        </w:rPr>
        <w:t xml:space="preserve">entraîneurs de football, de basketball, de volleyball et du cyclisme </w:t>
      </w:r>
      <w:r w:rsidR="003D6A8B" w:rsidRPr="006E2F26">
        <w:rPr>
          <w:rFonts w:asciiTheme="minorHAnsi" w:hAnsiTheme="minorHAnsi" w:cstheme="minorHAnsi"/>
          <w:lang w:val="fr-FR"/>
        </w:rPr>
        <w:t>permet que la loi du 24 février leur soit applicable, notamment en ce qu’elle prévoit une présomption irréfragable de contrat de travail d’employé.</w:t>
      </w:r>
    </w:p>
    <w:p w14:paraId="2E6A1031" w14:textId="77777777" w:rsidR="003D6A8B" w:rsidRPr="006E2F26" w:rsidRDefault="003D6A8B" w:rsidP="00340823">
      <w:pPr>
        <w:jc w:val="both"/>
        <w:rPr>
          <w:rFonts w:asciiTheme="minorHAnsi" w:eastAsia="Arial" w:hAnsiTheme="minorHAnsi" w:cstheme="minorHAnsi"/>
          <w:lang w:val="fr-FR"/>
        </w:rPr>
      </w:pPr>
    </w:p>
    <w:p w14:paraId="35FBE2EC" w14:textId="77777777" w:rsidR="009946CC" w:rsidRPr="006E2F26" w:rsidRDefault="007F3B6A" w:rsidP="00340823">
      <w:pPr>
        <w:jc w:val="both"/>
        <w:rPr>
          <w:rFonts w:asciiTheme="minorHAnsi" w:hAnsiTheme="minorHAnsi" w:cstheme="minorHAnsi"/>
          <w:lang w:val="fr-FR"/>
        </w:rPr>
      </w:pPr>
      <w:r w:rsidRPr="006E2F26">
        <w:rPr>
          <w:rFonts w:asciiTheme="minorHAnsi" w:hAnsiTheme="minorHAnsi" w:cstheme="minorHAnsi"/>
          <w:lang w:val="fr-FR"/>
        </w:rPr>
        <w:t xml:space="preserve">c) Il reste donc à vérifier si </w:t>
      </w:r>
      <w:r w:rsidR="009946CC" w:rsidRPr="006E2F26">
        <w:rPr>
          <w:rFonts w:asciiTheme="minorHAnsi" w:hAnsiTheme="minorHAnsi" w:cstheme="minorHAnsi"/>
          <w:lang w:val="fr-FR"/>
        </w:rPr>
        <w:t>la différenc</w:t>
      </w:r>
      <w:r w:rsidRPr="006E2F26">
        <w:rPr>
          <w:rFonts w:asciiTheme="minorHAnsi" w:hAnsiTheme="minorHAnsi" w:cstheme="minorHAnsi"/>
          <w:lang w:val="fr-FR"/>
        </w:rPr>
        <w:t>e de traitement est fondée sur un critère objectif, justifiée et p</w:t>
      </w:r>
      <w:r w:rsidR="009946CC" w:rsidRPr="006E2F26">
        <w:rPr>
          <w:rFonts w:asciiTheme="minorHAnsi" w:hAnsiTheme="minorHAnsi" w:cstheme="minorHAnsi"/>
          <w:lang w:val="fr-FR"/>
        </w:rPr>
        <w:t>roportionné</w:t>
      </w:r>
      <w:r w:rsidRPr="006E2F26">
        <w:rPr>
          <w:rFonts w:asciiTheme="minorHAnsi" w:hAnsiTheme="minorHAnsi" w:cstheme="minorHAnsi"/>
          <w:lang w:val="fr-FR"/>
        </w:rPr>
        <w:t>e par rapport au but poursuivi.</w:t>
      </w:r>
    </w:p>
    <w:p w14:paraId="1B3D3747" w14:textId="77777777" w:rsidR="007F3B6A" w:rsidRPr="006E2F26" w:rsidRDefault="007F3B6A" w:rsidP="00340823">
      <w:pPr>
        <w:jc w:val="both"/>
        <w:rPr>
          <w:rFonts w:asciiTheme="minorHAnsi" w:hAnsiTheme="minorHAnsi" w:cstheme="minorHAnsi"/>
          <w:lang w:val="fr-FR"/>
        </w:rPr>
      </w:pPr>
    </w:p>
    <w:p w14:paraId="167E5378" w14:textId="77777777" w:rsidR="007F3B6A" w:rsidRPr="006E2F26" w:rsidRDefault="007F3B6A"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Le seul critère avancé par </w:t>
      </w:r>
      <w:r w:rsidR="00367BD0" w:rsidRPr="006E2F26">
        <w:rPr>
          <w:rFonts w:asciiTheme="minorHAnsi" w:hAnsiTheme="minorHAnsi" w:cstheme="minorHAnsi"/>
          <w:sz w:val="24"/>
          <w:szCs w:val="24"/>
          <w:lang w:val="fr-FR"/>
        </w:rPr>
        <w:t>l</w:t>
      </w:r>
      <w:r w:rsidR="00322265" w:rsidRPr="006E2F26">
        <w:rPr>
          <w:rFonts w:asciiTheme="minorHAnsi" w:hAnsiTheme="minorHAnsi" w:cstheme="minorHAnsi"/>
          <w:sz w:val="24"/>
          <w:szCs w:val="24"/>
          <w:lang w:val="fr-FR"/>
        </w:rPr>
        <w:t>’A.S.B.L.</w:t>
      </w:r>
      <w:r w:rsidRPr="006E2F26">
        <w:rPr>
          <w:rFonts w:asciiTheme="minorHAnsi" w:hAnsiTheme="minorHAnsi" w:cstheme="minorHAnsi"/>
          <w:sz w:val="24"/>
          <w:szCs w:val="24"/>
          <w:lang w:val="fr-FR"/>
        </w:rPr>
        <w:t xml:space="preserve"> </w:t>
      </w:r>
      <w:r w:rsidR="00367BD0" w:rsidRPr="006E2F26">
        <w:rPr>
          <w:rFonts w:asciiTheme="minorHAnsi" w:hAnsiTheme="minorHAnsi" w:cstheme="minorHAnsi"/>
          <w:sz w:val="24"/>
          <w:szCs w:val="24"/>
          <w:lang w:val="fr-FR"/>
        </w:rPr>
        <w:t>concerne l’absence de</w:t>
      </w:r>
      <w:r w:rsidRPr="006E2F26">
        <w:rPr>
          <w:rFonts w:asciiTheme="minorHAnsi" w:hAnsiTheme="minorHAnsi" w:cstheme="minorHAnsi"/>
          <w:sz w:val="24"/>
          <w:szCs w:val="24"/>
          <w:lang w:val="fr-FR"/>
        </w:rPr>
        <w:t xml:space="preserve"> </w:t>
      </w:r>
      <w:r w:rsidR="00367BD0" w:rsidRPr="006E2F26">
        <w:rPr>
          <w:rFonts w:asciiTheme="minorHAnsi" w:hAnsiTheme="minorHAnsi" w:cstheme="minorHAnsi"/>
          <w:sz w:val="24"/>
          <w:szCs w:val="24"/>
          <w:lang w:val="fr-FR"/>
        </w:rPr>
        <w:t>comparabilité des catégories d’entraîneurs ;</w:t>
      </w:r>
      <w:r w:rsidRPr="006E2F26">
        <w:rPr>
          <w:rFonts w:asciiTheme="minorHAnsi" w:hAnsiTheme="minorHAnsi" w:cstheme="minorHAnsi"/>
          <w:sz w:val="24"/>
          <w:szCs w:val="24"/>
          <w:lang w:val="fr-FR"/>
        </w:rPr>
        <w:t xml:space="preserve"> les entraîneu</w:t>
      </w:r>
      <w:r w:rsidR="00367BD0" w:rsidRPr="006E2F26">
        <w:rPr>
          <w:rFonts w:asciiTheme="minorHAnsi" w:hAnsiTheme="minorHAnsi" w:cstheme="minorHAnsi"/>
          <w:sz w:val="24"/>
          <w:szCs w:val="24"/>
          <w:lang w:val="fr-FR"/>
        </w:rPr>
        <w:t>rs de tennis de table n’entraîna</w:t>
      </w:r>
      <w:r w:rsidRPr="006E2F26">
        <w:rPr>
          <w:rFonts w:asciiTheme="minorHAnsi" w:hAnsiTheme="minorHAnsi" w:cstheme="minorHAnsi"/>
          <w:sz w:val="24"/>
          <w:szCs w:val="24"/>
          <w:lang w:val="fr-FR"/>
        </w:rPr>
        <w:t>nt pas des sportifs professionnels.</w:t>
      </w:r>
    </w:p>
    <w:p w14:paraId="0754F0AC" w14:textId="77777777" w:rsidR="007F3B6A" w:rsidRPr="006E2F26" w:rsidRDefault="007F3B6A" w:rsidP="00340823">
      <w:pPr>
        <w:pStyle w:val="Textebrut"/>
        <w:tabs>
          <w:tab w:val="left" w:pos="1843"/>
        </w:tabs>
        <w:jc w:val="both"/>
        <w:rPr>
          <w:rFonts w:asciiTheme="minorHAnsi" w:hAnsiTheme="minorHAnsi" w:cstheme="minorHAnsi"/>
          <w:sz w:val="24"/>
          <w:szCs w:val="24"/>
          <w:lang w:val="fr-FR"/>
        </w:rPr>
      </w:pPr>
    </w:p>
    <w:p w14:paraId="60A1B44C" w14:textId="77777777" w:rsidR="009946CC" w:rsidRPr="006E2F26" w:rsidRDefault="007F3B6A"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Or, comme déjà mentionné, ni l’arrêté royal, ni la loi d’établit cette condition d’application. La seule condition prévue par la loi du 24 février 1978 est une condition de rémunération en-dessous de laquelle elle ne sera pas appliquée.</w:t>
      </w:r>
    </w:p>
    <w:p w14:paraId="368EC231" w14:textId="77777777" w:rsidR="007F3B6A" w:rsidRPr="006E2F26" w:rsidRDefault="007F3B6A" w:rsidP="00340823">
      <w:pPr>
        <w:pStyle w:val="Textebrut"/>
        <w:tabs>
          <w:tab w:val="left" w:pos="1843"/>
        </w:tabs>
        <w:jc w:val="both"/>
        <w:rPr>
          <w:rFonts w:asciiTheme="minorHAnsi" w:hAnsiTheme="minorHAnsi" w:cstheme="minorHAnsi"/>
          <w:sz w:val="24"/>
          <w:szCs w:val="24"/>
          <w:lang w:val="fr-FR"/>
        </w:rPr>
      </w:pPr>
    </w:p>
    <w:p w14:paraId="1DBCB1F0" w14:textId="77777777" w:rsidR="007F3B6A" w:rsidRPr="006E2F26" w:rsidRDefault="007F3B6A"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lastRenderedPageBreak/>
        <w:t>Le Tribunal n’aperçoit donc aucun critère objectif ou justification qui permettrait de fonder cette différence de traitement.</w:t>
      </w:r>
    </w:p>
    <w:p w14:paraId="6B02F962" w14:textId="77777777" w:rsidR="007F3B6A" w:rsidRPr="006E2F26" w:rsidRDefault="007F3B6A" w:rsidP="00340823">
      <w:pPr>
        <w:pStyle w:val="Textebrut"/>
        <w:tabs>
          <w:tab w:val="left" w:pos="1843"/>
        </w:tabs>
        <w:jc w:val="both"/>
        <w:rPr>
          <w:rFonts w:asciiTheme="minorHAnsi" w:hAnsiTheme="minorHAnsi" w:cstheme="minorHAnsi"/>
          <w:sz w:val="24"/>
          <w:szCs w:val="24"/>
          <w:lang w:val="fr-FR"/>
        </w:rPr>
      </w:pPr>
    </w:p>
    <w:p w14:paraId="6C262374" w14:textId="237E381E" w:rsidR="007F3B6A" w:rsidRPr="006E2F26" w:rsidRDefault="007F3B6A"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De plus, comme le soulève </w:t>
      </w:r>
      <w:r w:rsidR="008C7B4A" w:rsidRPr="006E2F26">
        <w:rPr>
          <w:rFonts w:asciiTheme="minorHAnsi" w:hAnsiTheme="minorHAnsi" w:cstheme="minorHAnsi"/>
          <w:sz w:val="24"/>
          <w:szCs w:val="24"/>
          <w:lang w:val="fr-FR"/>
        </w:rPr>
        <w:t>M.</w:t>
      </w:r>
      <w:r w:rsidR="00322265" w:rsidRPr="006E2F26">
        <w:rPr>
          <w:rFonts w:asciiTheme="minorHAnsi" w:hAnsiTheme="minorHAnsi" w:cstheme="minorHAnsi"/>
          <w:sz w:val="24"/>
          <w:szCs w:val="24"/>
          <w:lang w:val="fr-FR"/>
        </w:rPr>
        <w:t xml:space="preserve"> </w:t>
      </w:r>
      <w:r w:rsidR="00961229">
        <w:rPr>
          <w:rFonts w:asciiTheme="minorHAnsi" w:hAnsiTheme="minorHAnsi" w:cstheme="minorHAnsi"/>
          <w:sz w:val="24"/>
          <w:szCs w:val="24"/>
          <w:lang w:val="fr-FR"/>
        </w:rPr>
        <w:t>M</w:t>
      </w:r>
      <w:r w:rsidRPr="006E2F26">
        <w:rPr>
          <w:rFonts w:asciiTheme="minorHAnsi" w:hAnsiTheme="minorHAnsi" w:cstheme="minorHAnsi"/>
          <w:sz w:val="24"/>
          <w:szCs w:val="24"/>
          <w:lang w:val="fr-FR"/>
        </w:rPr>
        <w:t>, le Conseil d’Etat avait déjà soulevé ce manque de justification lorsque son avis préalable lui a été demandé avant l’adoption de l’arrêté royal du 13 novembre 2012</w:t>
      </w:r>
      <w:r w:rsidR="00993823" w:rsidRPr="006E2F26">
        <w:rPr>
          <w:rStyle w:val="Appelnotedebasdep"/>
          <w:rFonts w:asciiTheme="minorHAnsi" w:hAnsiTheme="minorHAnsi" w:cstheme="minorHAnsi"/>
          <w:sz w:val="24"/>
          <w:szCs w:val="24"/>
          <w:lang w:val="fr-FR"/>
        </w:rPr>
        <w:footnoteReference w:id="12"/>
      </w:r>
      <w:r w:rsidRPr="006E2F26">
        <w:rPr>
          <w:rFonts w:asciiTheme="minorHAnsi" w:hAnsiTheme="minorHAnsi" w:cstheme="minorHAnsi"/>
          <w:sz w:val="24"/>
          <w:szCs w:val="24"/>
          <w:lang w:val="fr-FR"/>
        </w:rPr>
        <w:t>.</w:t>
      </w:r>
      <w:r w:rsidR="00B51EBD" w:rsidRPr="006E2F26">
        <w:rPr>
          <w:rFonts w:asciiTheme="minorHAnsi" w:hAnsiTheme="minorHAnsi" w:cstheme="minorHAnsi"/>
          <w:sz w:val="24"/>
          <w:szCs w:val="24"/>
          <w:lang w:val="fr-FR"/>
        </w:rPr>
        <w:t xml:space="preserve"> Il a précisé ainsi :</w:t>
      </w:r>
    </w:p>
    <w:p w14:paraId="0E2B06EA" w14:textId="77777777" w:rsidR="00B51EBD" w:rsidRPr="006E2F26" w:rsidRDefault="00B51EBD" w:rsidP="00340823">
      <w:pPr>
        <w:pStyle w:val="Textebrut"/>
        <w:tabs>
          <w:tab w:val="left" w:pos="1843"/>
        </w:tabs>
        <w:jc w:val="both"/>
        <w:rPr>
          <w:rFonts w:asciiTheme="minorHAnsi" w:hAnsiTheme="minorHAnsi" w:cstheme="minorHAnsi"/>
          <w:sz w:val="24"/>
          <w:szCs w:val="24"/>
          <w:lang w:val="fr-FR"/>
        </w:rPr>
      </w:pPr>
    </w:p>
    <w:p w14:paraId="23B4F688" w14:textId="77777777" w:rsidR="00B51EBD" w:rsidRPr="006E2F26" w:rsidRDefault="00B51EBD" w:rsidP="00340823">
      <w:pPr>
        <w:pStyle w:val="Textebrut"/>
        <w:tabs>
          <w:tab w:val="left" w:pos="1843"/>
        </w:tabs>
        <w:jc w:val="both"/>
        <w:rPr>
          <w:rFonts w:asciiTheme="minorHAnsi" w:hAnsiTheme="minorHAnsi" w:cstheme="minorHAnsi"/>
          <w:i/>
          <w:sz w:val="24"/>
          <w:szCs w:val="24"/>
          <w:lang w:val="fr-FR"/>
        </w:rPr>
      </w:pPr>
      <w:r w:rsidRPr="006E2F26">
        <w:rPr>
          <w:rFonts w:asciiTheme="minorHAnsi" w:hAnsiTheme="minorHAnsi" w:cstheme="minorHAnsi"/>
          <w:sz w:val="24"/>
          <w:szCs w:val="24"/>
          <w:lang w:val="fr-FR"/>
        </w:rPr>
        <w:t>« </w:t>
      </w:r>
      <w:r w:rsidRPr="006E2F26">
        <w:rPr>
          <w:rFonts w:asciiTheme="minorHAnsi" w:hAnsiTheme="minorHAnsi" w:cstheme="minorHAnsi"/>
          <w:i/>
          <w:sz w:val="24"/>
          <w:szCs w:val="24"/>
          <w:lang w:val="fr-FR"/>
        </w:rPr>
        <w:t>Force est cependant de constater que l’arrêté en projet limite l’extension du champ d’application de la loi à ces catégories et ne vise par conséquent pas d’autres catégories de personnes, qui sont également concernées par la préparation ou la pratique du sport, tels par exemple des entraîneurs dans d’autres disciplines sportives que celles susvisées.</w:t>
      </w:r>
    </w:p>
    <w:p w14:paraId="706289BC" w14:textId="77777777" w:rsidR="00B51EBD" w:rsidRPr="006E2F26" w:rsidRDefault="00B51EBD" w:rsidP="00340823">
      <w:pPr>
        <w:pStyle w:val="Textebrut"/>
        <w:tabs>
          <w:tab w:val="left" w:pos="1843"/>
        </w:tabs>
        <w:jc w:val="both"/>
        <w:rPr>
          <w:rFonts w:asciiTheme="minorHAnsi" w:hAnsiTheme="minorHAnsi" w:cstheme="minorHAnsi"/>
          <w:i/>
          <w:sz w:val="24"/>
          <w:szCs w:val="24"/>
          <w:lang w:val="fr-FR"/>
        </w:rPr>
      </w:pPr>
      <w:r w:rsidRPr="006E2F26">
        <w:rPr>
          <w:rFonts w:asciiTheme="minorHAnsi" w:hAnsiTheme="minorHAnsi" w:cstheme="minorHAnsi"/>
          <w:i/>
          <w:sz w:val="24"/>
          <w:szCs w:val="24"/>
          <w:lang w:val="fr-FR"/>
        </w:rPr>
        <w:t xml:space="preserve"> L’arrêté en projet établit ainsi une différence de traitement entre plusieurs catégories de personnes auxquelles l’application de la loi du 24 février 1978 peut être étendue.</w:t>
      </w:r>
    </w:p>
    <w:p w14:paraId="0F4AD255" w14:textId="77777777" w:rsidR="00B51EBD" w:rsidRPr="006E2F26" w:rsidRDefault="00B51EBD" w:rsidP="00340823">
      <w:pPr>
        <w:pStyle w:val="Textebrut"/>
        <w:tabs>
          <w:tab w:val="left" w:pos="1843"/>
        </w:tabs>
        <w:jc w:val="both"/>
        <w:rPr>
          <w:rFonts w:asciiTheme="minorHAnsi" w:hAnsiTheme="minorHAnsi" w:cstheme="minorHAnsi"/>
          <w:i/>
          <w:sz w:val="24"/>
          <w:szCs w:val="24"/>
          <w:lang w:val="fr-FR"/>
        </w:rPr>
      </w:pPr>
      <w:r w:rsidRPr="006E2F26">
        <w:rPr>
          <w:rFonts w:asciiTheme="minorHAnsi" w:hAnsiTheme="minorHAnsi" w:cstheme="minorHAnsi"/>
          <w:i/>
          <w:sz w:val="24"/>
          <w:szCs w:val="24"/>
          <w:lang w:val="fr-FR"/>
        </w:rPr>
        <w:t>Une telle différence peut être admise, pour autant qu’elle repose sur un critère objectif et soit raisonnablement justifiée. L’existence d’une telle justification doit en outre s’apprécier en tenant compte du but et des effets de la mesure ainsi que de la nature des principes en cause. Le principe constitutionnel d’égalité et de non-discrimination est violé lorsqu’il est établi qu’il n’existe pas de rapport raisonnable de proportionnalité entre les moyens employés et le but visé.</w:t>
      </w:r>
    </w:p>
    <w:p w14:paraId="4473C30C" w14:textId="77777777" w:rsidR="00B51EBD" w:rsidRPr="006E2F26" w:rsidRDefault="00B51EBD" w:rsidP="00340823">
      <w:pPr>
        <w:pStyle w:val="Textebrut"/>
        <w:tabs>
          <w:tab w:val="left" w:pos="1843"/>
        </w:tabs>
        <w:jc w:val="both"/>
        <w:rPr>
          <w:rFonts w:asciiTheme="minorHAnsi" w:hAnsiTheme="minorHAnsi" w:cstheme="minorHAnsi"/>
          <w:i/>
          <w:sz w:val="24"/>
          <w:szCs w:val="24"/>
          <w:lang w:val="fr-FR"/>
        </w:rPr>
      </w:pPr>
      <w:r w:rsidRPr="006E2F26">
        <w:rPr>
          <w:rFonts w:asciiTheme="minorHAnsi" w:hAnsiTheme="minorHAnsi" w:cstheme="minorHAnsi"/>
          <w:i/>
          <w:sz w:val="24"/>
          <w:szCs w:val="24"/>
          <w:lang w:val="fr-FR"/>
        </w:rPr>
        <w:t>Il appartient à l’auteur du projet de vérifier si la différence de traitement que l’arrêté en projet établit peut être justifiée au regard des principes constitutionnels d’égalité et de</w:t>
      </w:r>
    </w:p>
    <w:p w14:paraId="280E77BB" w14:textId="77777777" w:rsidR="00B51EBD" w:rsidRPr="006E2F26" w:rsidRDefault="0044250A"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i/>
          <w:sz w:val="24"/>
          <w:szCs w:val="24"/>
          <w:lang w:val="fr-FR"/>
        </w:rPr>
        <w:t>non-discrimination</w:t>
      </w:r>
      <w:r w:rsidRPr="006E2F26">
        <w:rPr>
          <w:rStyle w:val="Appelnotedebasdep"/>
          <w:rFonts w:asciiTheme="minorHAnsi" w:hAnsiTheme="minorHAnsi" w:cstheme="minorHAnsi"/>
          <w:i/>
          <w:sz w:val="24"/>
          <w:szCs w:val="24"/>
          <w:lang w:val="fr-FR"/>
        </w:rPr>
        <w:footnoteReference w:id="13"/>
      </w:r>
      <w:r w:rsidR="00B51EBD" w:rsidRPr="006E2F26">
        <w:rPr>
          <w:rFonts w:asciiTheme="minorHAnsi" w:hAnsiTheme="minorHAnsi" w:cstheme="minorHAnsi"/>
          <w:sz w:val="24"/>
          <w:szCs w:val="24"/>
          <w:lang w:val="fr-FR"/>
        </w:rPr>
        <w:t> »</w:t>
      </w:r>
      <w:r w:rsidR="00386B6B" w:rsidRPr="006E2F26">
        <w:rPr>
          <w:rFonts w:asciiTheme="minorHAnsi" w:hAnsiTheme="minorHAnsi" w:cstheme="minorHAnsi"/>
          <w:sz w:val="24"/>
          <w:szCs w:val="24"/>
          <w:lang w:val="fr-FR"/>
        </w:rPr>
        <w:t>.</w:t>
      </w:r>
    </w:p>
    <w:p w14:paraId="4E1408A4" w14:textId="77777777" w:rsidR="002000AD" w:rsidRPr="006E2F26" w:rsidRDefault="002000AD" w:rsidP="00340823">
      <w:pPr>
        <w:pStyle w:val="Textebrut"/>
        <w:tabs>
          <w:tab w:val="left" w:pos="1843"/>
        </w:tabs>
        <w:jc w:val="both"/>
        <w:rPr>
          <w:rFonts w:asciiTheme="minorHAnsi" w:hAnsiTheme="minorHAnsi" w:cstheme="minorHAnsi"/>
          <w:sz w:val="24"/>
          <w:szCs w:val="24"/>
          <w:lang w:val="fr-FR"/>
        </w:rPr>
      </w:pPr>
    </w:p>
    <w:p w14:paraId="719C4EE5" w14:textId="77777777" w:rsidR="002000AD" w:rsidRPr="006E2F26" w:rsidRDefault="002000AD"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Aucune justification n’a vraisemblablement été donnée par la suite.</w:t>
      </w:r>
    </w:p>
    <w:p w14:paraId="148BA6CC" w14:textId="77777777" w:rsidR="007F3B6A" w:rsidRPr="006E2F26" w:rsidRDefault="007F3B6A" w:rsidP="00340823">
      <w:pPr>
        <w:pStyle w:val="Textebrut"/>
        <w:tabs>
          <w:tab w:val="left" w:pos="1843"/>
        </w:tabs>
        <w:jc w:val="both"/>
        <w:rPr>
          <w:rFonts w:asciiTheme="minorHAnsi" w:hAnsiTheme="minorHAnsi" w:cstheme="minorHAnsi"/>
          <w:sz w:val="24"/>
          <w:szCs w:val="24"/>
          <w:lang w:val="fr-FR"/>
        </w:rPr>
      </w:pPr>
    </w:p>
    <w:p w14:paraId="4C8AA079" w14:textId="77777777" w:rsidR="007F3B6A" w:rsidRPr="006E2F26" w:rsidRDefault="00AA02E5"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Le Tribunal doit enfin vérifier si la différence de traitement est proportionnée à l’objectif poursuivi. Or, l’objectif poursuivi ne peut ici être déterminé. </w:t>
      </w:r>
    </w:p>
    <w:p w14:paraId="7D3B1CEB" w14:textId="77777777" w:rsidR="00AA02E5" w:rsidRPr="006E2F26" w:rsidRDefault="00AA02E5" w:rsidP="00340823">
      <w:pPr>
        <w:pStyle w:val="Textebrut"/>
        <w:tabs>
          <w:tab w:val="left" w:pos="1843"/>
        </w:tabs>
        <w:jc w:val="both"/>
        <w:rPr>
          <w:rFonts w:asciiTheme="minorHAnsi" w:hAnsiTheme="minorHAnsi" w:cstheme="minorHAnsi"/>
          <w:sz w:val="24"/>
          <w:szCs w:val="24"/>
          <w:lang w:val="fr-FR"/>
        </w:rPr>
      </w:pPr>
    </w:p>
    <w:p w14:paraId="5FD150D7" w14:textId="77777777" w:rsidR="00AA02E5" w:rsidRPr="006E2F26" w:rsidRDefault="00AA02E5"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Le Tribunal ne peut qu’en déduire</w:t>
      </w:r>
      <w:r w:rsidR="00A4238A" w:rsidRPr="006E2F26">
        <w:rPr>
          <w:rFonts w:asciiTheme="minorHAnsi" w:hAnsiTheme="minorHAnsi" w:cstheme="minorHAnsi"/>
          <w:sz w:val="24"/>
          <w:szCs w:val="24"/>
          <w:lang w:val="fr-FR"/>
        </w:rPr>
        <w:t xml:space="preserve"> son caractère manifestement disproportionné, la différence de traitement entre les entraîneurs de tennis de table et les autres entraîneurs auquel la loi du 24 février 1978 est en partie applicable les plaçant dans une situation bien moins favorable.</w:t>
      </w:r>
    </w:p>
    <w:p w14:paraId="7C17307A" w14:textId="77777777" w:rsidR="00E549D6" w:rsidRPr="006E2F26" w:rsidRDefault="00E549D6" w:rsidP="00340823">
      <w:pPr>
        <w:pStyle w:val="Textebrut"/>
        <w:tabs>
          <w:tab w:val="left" w:pos="1843"/>
        </w:tabs>
        <w:jc w:val="both"/>
        <w:rPr>
          <w:rFonts w:asciiTheme="minorHAnsi" w:hAnsiTheme="minorHAnsi" w:cstheme="minorHAnsi"/>
          <w:sz w:val="24"/>
          <w:szCs w:val="24"/>
          <w:lang w:val="fr-FR"/>
        </w:rPr>
      </w:pPr>
    </w:p>
    <w:p w14:paraId="20ABB980" w14:textId="551860F3" w:rsidR="00E549D6" w:rsidRPr="006E2F26" w:rsidRDefault="00E549D6"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Le Tribunal estime dès lors</w:t>
      </w:r>
      <w:r w:rsidR="00A02E16">
        <w:rPr>
          <w:rFonts w:asciiTheme="minorHAnsi" w:hAnsiTheme="minorHAnsi" w:cstheme="minorHAnsi"/>
          <w:sz w:val="24"/>
          <w:szCs w:val="24"/>
          <w:lang w:val="fr-FR"/>
        </w:rPr>
        <w:t>,</w:t>
      </w:r>
      <w:r w:rsidRPr="006E2F26">
        <w:rPr>
          <w:rFonts w:asciiTheme="minorHAnsi" w:hAnsiTheme="minorHAnsi" w:cstheme="minorHAnsi"/>
          <w:sz w:val="24"/>
          <w:szCs w:val="24"/>
          <w:lang w:val="fr-FR"/>
        </w:rPr>
        <w:t xml:space="preserve"> que l’</w:t>
      </w:r>
      <w:r w:rsidR="00BB7A8E" w:rsidRPr="006E2F26">
        <w:rPr>
          <w:rFonts w:asciiTheme="minorHAnsi" w:hAnsiTheme="minorHAnsi" w:cstheme="minorHAnsi"/>
          <w:sz w:val="24"/>
          <w:szCs w:val="24"/>
          <w:lang w:val="fr-FR"/>
        </w:rPr>
        <w:t>article 1</w:t>
      </w:r>
      <w:r w:rsidR="00BB7A8E" w:rsidRPr="006E2F26">
        <w:rPr>
          <w:rFonts w:asciiTheme="minorHAnsi" w:hAnsiTheme="minorHAnsi" w:cstheme="minorHAnsi"/>
          <w:sz w:val="24"/>
          <w:szCs w:val="24"/>
          <w:vertAlign w:val="superscript"/>
          <w:lang w:val="fr-FR"/>
        </w:rPr>
        <w:t>er</w:t>
      </w:r>
      <w:r w:rsidR="00BB7A8E" w:rsidRPr="006E2F26">
        <w:rPr>
          <w:rFonts w:asciiTheme="minorHAnsi" w:hAnsiTheme="minorHAnsi" w:cstheme="minorHAnsi"/>
          <w:sz w:val="24"/>
          <w:szCs w:val="24"/>
          <w:lang w:val="fr-FR"/>
        </w:rPr>
        <w:t xml:space="preserve"> de l’</w:t>
      </w:r>
      <w:r w:rsidRPr="006E2F26">
        <w:rPr>
          <w:rFonts w:asciiTheme="minorHAnsi" w:hAnsiTheme="minorHAnsi" w:cstheme="minorHAnsi"/>
          <w:sz w:val="24"/>
          <w:szCs w:val="24"/>
          <w:lang w:val="fr-FR"/>
        </w:rPr>
        <w:t xml:space="preserve">arrêté royal du 13 novembre 2012 est contraire aux principes de l’égalité et de la non-discrimination </w:t>
      </w:r>
      <w:r w:rsidR="00320730" w:rsidRPr="006E2F26">
        <w:rPr>
          <w:rFonts w:asciiTheme="minorHAnsi" w:hAnsiTheme="minorHAnsi" w:cstheme="minorHAnsi"/>
          <w:sz w:val="24"/>
          <w:szCs w:val="24"/>
          <w:lang w:val="fr-FR"/>
        </w:rPr>
        <w:t>établis par les</w:t>
      </w:r>
      <w:r w:rsidRPr="006E2F26">
        <w:rPr>
          <w:rFonts w:asciiTheme="minorHAnsi" w:hAnsiTheme="minorHAnsi" w:cstheme="minorHAnsi"/>
          <w:sz w:val="24"/>
          <w:szCs w:val="24"/>
          <w:lang w:val="fr-FR"/>
        </w:rPr>
        <w:t xml:space="preserve"> article</w:t>
      </w:r>
      <w:r w:rsidR="00320730" w:rsidRPr="006E2F26">
        <w:rPr>
          <w:rFonts w:asciiTheme="minorHAnsi" w:hAnsiTheme="minorHAnsi" w:cstheme="minorHAnsi"/>
          <w:sz w:val="24"/>
          <w:szCs w:val="24"/>
          <w:lang w:val="fr-FR"/>
        </w:rPr>
        <w:t>s</w:t>
      </w:r>
      <w:r w:rsidRPr="006E2F26">
        <w:rPr>
          <w:rFonts w:asciiTheme="minorHAnsi" w:hAnsiTheme="minorHAnsi" w:cstheme="minorHAnsi"/>
          <w:sz w:val="24"/>
          <w:szCs w:val="24"/>
          <w:lang w:val="fr-FR"/>
        </w:rPr>
        <w:t xml:space="preserve"> 10 et 11 </w:t>
      </w:r>
      <w:r w:rsidR="00BB7A8E" w:rsidRPr="006E2F26">
        <w:rPr>
          <w:rFonts w:asciiTheme="minorHAnsi" w:hAnsiTheme="minorHAnsi" w:cstheme="minorHAnsi"/>
          <w:sz w:val="24"/>
          <w:szCs w:val="24"/>
          <w:lang w:val="fr-FR"/>
        </w:rPr>
        <w:t xml:space="preserve">de Constitution en ce qu’il exclut l’extension du champ d’application de la loi du 24 février 1978 aux entraîneurs de tennis de table dont fait partie </w:t>
      </w:r>
      <w:r w:rsidR="008C7B4A" w:rsidRPr="006E2F26">
        <w:rPr>
          <w:rFonts w:asciiTheme="minorHAnsi" w:hAnsiTheme="minorHAnsi" w:cstheme="minorHAnsi"/>
          <w:sz w:val="24"/>
          <w:szCs w:val="24"/>
          <w:lang w:val="fr-FR"/>
        </w:rPr>
        <w:t>M.</w:t>
      </w:r>
      <w:r w:rsidR="00BB7A8E" w:rsidRPr="006E2F26">
        <w:rPr>
          <w:rFonts w:asciiTheme="minorHAnsi" w:hAnsiTheme="minorHAnsi" w:cstheme="minorHAnsi"/>
          <w:sz w:val="24"/>
          <w:szCs w:val="24"/>
          <w:lang w:val="fr-FR"/>
        </w:rPr>
        <w:t xml:space="preserve"> </w:t>
      </w:r>
      <w:r w:rsidR="00961229">
        <w:rPr>
          <w:rFonts w:asciiTheme="minorHAnsi" w:hAnsiTheme="minorHAnsi" w:cstheme="minorHAnsi"/>
          <w:sz w:val="24"/>
          <w:szCs w:val="24"/>
          <w:lang w:val="fr-FR"/>
        </w:rPr>
        <w:t>M</w:t>
      </w:r>
      <w:r w:rsidR="00BB7A8E" w:rsidRPr="006E2F26">
        <w:rPr>
          <w:rFonts w:asciiTheme="minorHAnsi" w:hAnsiTheme="minorHAnsi" w:cstheme="minorHAnsi"/>
          <w:sz w:val="24"/>
          <w:szCs w:val="24"/>
          <w:lang w:val="fr-FR"/>
        </w:rPr>
        <w:t>.</w:t>
      </w:r>
    </w:p>
    <w:p w14:paraId="76F81CAB" w14:textId="77777777" w:rsidR="009946CC" w:rsidRPr="006E2F26" w:rsidRDefault="009946CC" w:rsidP="00340823">
      <w:pPr>
        <w:pStyle w:val="Textebrut"/>
        <w:tabs>
          <w:tab w:val="left" w:pos="1843"/>
        </w:tabs>
        <w:jc w:val="both"/>
        <w:rPr>
          <w:rFonts w:asciiTheme="minorHAnsi" w:hAnsiTheme="minorHAnsi" w:cstheme="minorHAnsi"/>
          <w:sz w:val="24"/>
          <w:szCs w:val="24"/>
          <w:lang w:val="fr-FR"/>
        </w:rPr>
      </w:pPr>
    </w:p>
    <w:p w14:paraId="2770BCAA" w14:textId="77777777" w:rsidR="00320730" w:rsidRPr="006E2F26" w:rsidRDefault="006549AB"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4. </w:t>
      </w:r>
      <w:r w:rsidR="00320730" w:rsidRPr="006E2F26">
        <w:rPr>
          <w:rFonts w:asciiTheme="minorHAnsi" w:hAnsiTheme="minorHAnsi" w:cstheme="minorHAnsi"/>
          <w:sz w:val="24"/>
          <w:szCs w:val="24"/>
          <w:lang w:val="fr-FR"/>
        </w:rPr>
        <w:t xml:space="preserve">Le Tribunal doit ensuite tirer les conséquences de ce constat. </w:t>
      </w:r>
    </w:p>
    <w:p w14:paraId="2B029901" w14:textId="77777777" w:rsidR="00320730" w:rsidRPr="006E2F26" w:rsidRDefault="00320730" w:rsidP="00340823">
      <w:pPr>
        <w:pStyle w:val="Textebrut"/>
        <w:tabs>
          <w:tab w:val="left" w:pos="1843"/>
        </w:tabs>
        <w:jc w:val="both"/>
        <w:rPr>
          <w:rFonts w:asciiTheme="minorHAnsi" w:hAnsiTheme="minorHAnsi" w:cstheme="minorHAnsi"/>
          <w:sz w:val="24"/>
          <w:szCs w:val="24"/>
          <w:lang w:val="fr-FR"/>
        </w:rPr>
      </w:pPr>
    </w:p>
    <w:p w14:paraId="1DB48DA3" w14:textId="77777777" w:rsidR="00E21CB5" w:rsidRPr="006E2F26" w:rsidRDefault="00320730"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Il s’agit en effet du</w:t>
      </w:r>
      <w:r w:rsidR="00E21CB5" w:rsidRPr="006E2F26">
        <w:rPr>
          <w:rFonts w:asciiTheme="minorHAnsi" w:hAnsiTheme="minorHAnsi" w:cstheme="minorHAnsi"/>
          <w:sz w:val="24"/>
          <w:szCs w:val="24"/>
          <w:lang w:val="fr-FR"/>
        </w:rPr>
        <w:t xml:space="preserve"> cas</w:t>
      </w:r>
      <w:r w:rsidRPr="006E2F26">
        <w:rPr>
          <w:rFonts w:asciiTheme="minorHAnsi" w:hAnsiTheme="minorHAnsi" w:cstheme="minorHAnsi"/>
          <w:sz w:val="24"/>
          <w:szCs w:val="24"/>
          <w:lang w:val="fr-FR"/>
        </w:rPr>
        <w:t xml:space="preserve"> où</w:t>
      </w:r>
      <w:r w:rsidR="00E21CB5" w:rsidRPr="006E2F26">
        <w:rPr>
          <w:rFonts w:asciiTheme="minorHAnsi" w:hAnsiTheme="minorHAnsi" w:cstheme="minorHAnsi"/>
          <w:sz w:val="24"/>
          <w:szCs w:val="24"/>
          <w:lang w:val="fr-FR"/>
        </w:rPr>
        <w:t xml:space="preserve"> la cause d’une discrimination (violation des articles 10 et 11 de la Constitution) repose sur une lacune</w:t>
      </w:r>
      <w:r w:rsidR="007C2E94" w:rsidRPr="006E2F26">
        <w:rPr>
          <w:rFonts w:asciiTheme="minorHAnsi" w:hAnsiTheme="minorHAnsi" w:cstheme="minorHAnsi"/>
          <w:sz w:val="24"/>
          <w:szCs w:val="24"/>
          <w:lang w:val="fr-FR"/>
        </w:rPr>
        <w:t>,</w:t>
      </w:r>
      <w:r w:rsidR="00E21CB5" w:rsidRPr="006E2F26">
        <w:rPr>
          <w:rFonts w:asciiTheme="minorHAnsi" w:hAnsiTheme="minorHAnsi" w:cstheme="minorHAnsi"/>
          <w:sz w:val="24"/>
          <w:szCs w:val="24"/>
          <w:lang w:val="fr-FR"/>
        </w:rPr>
        <w:t xml:space="preserve"> par exemple </w:t>
      </w:r>
      <w:r w:rsidR="007C2E94" w:rsidRPr="006E2F26">
        <w:rPr>
          <w:rFonts w:asciiTheme="minorHAnsi" w:hAnsiTheme="minorHAnsi" w:cstheme="minorHAnsi"/>
          <w:sz w:val="24"/>
          <w:szCs w:val="24"/>
          <w:lang w:val="fr-FR"/>
        </w:rPr>
        <w:t xml:space="preserve">lorsqu’une disposition législative </w:t>
      </w:r>
      <w:r w:rsidR="00E21CB5" w:rsidRPr="006E2F26">
        <w:rPr>
          <w:rFonts w:asciiTheme="minorHAnsi" w:hAnsiTheme="minorHAnsi" w:cstheme="minorHAnsi"/>
          <w:sz w:val="24"/>
          <w:szCs w:val="24"/>
          <w:lang w:val="fr-FR"/>
        </w:rPr>
        <w:t>exclu</w:t>
      </w:r>
      <w:r w:rsidR="007C2E94" w:rsidRPr="006E2F26">
        <w:rPr>
          <w:rFonts w:asciiTheme="minorHAnsi" w:hAnsiTheme="minorHAnsi" w:cstheme="minorHAnsi"/>
          <w:sz w:val="24"/>
          <w:szCs w:val="24"/>
          <w:lang w:val="fr-FR"/>
        </w:rPr>
        <w:t>t</w:t>
      </w:r>
      <w:r w:rsidR="00E21CB5" w:rsidRPr="006E2F26">
        <w:rPr>
          <w:rFonts w:asciiTheme="minorHAnsi" w:hAnsiTheme="minorHAnsi" w:cstheme="minorHAnsi"/>
          <w:sz w:val="24"/>
          <w:szCs w:val="24"/>
          <w:lang w:val="fr-FR"/>
        </w:rPr>
        <w:t xml:space="preserve"> une catégorie de personnes de certains droits.</w:t>
      </w:r>
    </w:p>
    <w:p w14:paraId="32AA6AA0" w14:textId="77777777" w:rsidR="00E21CB5" w:rsidRPr="006E2F26" w:rsidRDefault="00E21CB5"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 </w:t>
      </w:r>
    </w:p>
    <w:p w14:paraId="4EC94FBF" w14:textId="77777777" w:rsidR="00E21CB5" w:rsidRPr="006E2F26" w:rsidRDefault="00E21CB5"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lastRenderedPageBreak/>
        <w:t>La Cour constitutionnelle</w:t>
      </w:r>
      <w:r w:rsidRPr="006E2F26">
        <w:rPr>
          <w:rStyle w:val="Appelnotedebasdep"/>
          <w:rFonts w:asciiTheme="minorHAnsi" w:hAnsiTheme="minorHAnsi" w:cstheme="minorHAnsi"/>
          <w:sz w:val="24"/>
          <w:szCs w:val="24"/>
          <w:lang w:val="fr-FR"/>
        </w:rPr>
        <w:footnoteReference w:id="14"/>
      </w:r>
      <w:r w:rsidRPr="006E2F26">
        <w:rPr>
          <w:rFonts w:asciiTheme="minorHAnsi" w:hAnsiTheme="minorHAnsi" w:cstheme="minorHAnsi"/>
          <w:sz w:val="24"/>
          <w:szCs w:val="24"/>
          <w:lang w:val="fr-FR"/>
        </w:rPr>
        <w:t xml:space="preserve"> a donné la possibilité au juge judiciaire de combler cette lacune à certaines </w:t>
      </w:r>
      <w:r w:rsidR="00045D23" w:rsidRPr="006E2F26">
        <w:rPr>
          <w:rFonts w:asciiTheme="minorHAnsi" w:hAnsiTheme="minorHAnsi" w:cstheme="minorHAnsi"/>
          <w:sz w:val="24"/>
          <w:szCs w:val="24"/>
          <w:lang w:val="fr-FR"/>
        </w:rPr>
        <w:t xml:space="preserve">conditions. Il faut que </w:t>
      </w:r>
      <w:r w:rsidRPr="006E2F26">
        <w:rPr>
          <w:rFonts w:asciiTheme="minorHAnsi" w:hAnsiTheme="minorHAnsi" w:cstheme="minorHAnsi"/>
          <w:sz w:val="24"/>
          <w:szCs w:val="24"/>
          <w:lang w:val="fr-FR"/>
        </w:rPr>
        <w:t xml:space="preserve">la lacune </w:t>
      </w:r>
      <w:r w:rsidR="00045D23" w:rsidRPr="006E2F26">
        <w:rPr>
          <w:rFonts w:asciiTheme="minorHAnsi" w:hAnsiTheme="minorHAnsi" w:cstheme="minorHAnsi"/>
          <w:sz w:val="24"/>
          <w:szCs w:val="24"/>
          <w:lang w:val="fr-FR"/>
        </w:rPr>
        <w:t>soit</w:t>
      </w:r>
      <w:r w:rsidRPr="006E2F26">
        <w:rPr>
          <w:rFonts w:asciiTheme="minorHAnsi" w:hAnsiTheme="minorHAnsi" w:cstheme="minorHAnsi"/>
          <w:sz w:val="24"/>
          <w:szCs w:val="24"/>
          <w:lang w:val="fr-FR"/>
        </w:rPr>
        <w:t xml:space="preserve"> située « </w:t>
      </w:r>
      <w:r w:rsidRPr="006E2F26">
        <w:rPr>
          <w:rFonts w:asciiTheme="minorHAnsi" w:hAnsiTheme="minorHAnsi" w:cstheme="minorHAnsi"/>
          <w:i/>
          <w:sz w:val="24"/>
          <w:szCs w:val="24"/>
          <w:lang w:val="fr-FR"/>
        </w:rPr>
        <w:t>dans</w:t>
      </w:r>
      <w:r w:rsidR="00045D23" w:rsidRPr="006E2F26">
        <w:rPr>
          <w:rFonts w:asciiTheme="minorHAnsi" w:hAnsiTheme="minorHAnsi" w:cstheme="minorHAnsi"/>
          <w:sz w:val="24"/>
          <w:szCs w:val="24"/>
          <w:lang w:val="fr-FR"/>
        </w:rPr>
        <w:t xml:space="preserve"> » le texte soumis à la Cour et que </w:t>
      </w:r>
      <w:r w:rsidRPr="006E2F26">
        <w:rPr>
          <w:rFonts w:asciiTheme="minorHAnsi" w:hAnsiTheme="minorHAnsi" w:cstheme="minorHAnsi"/>
          <w:sz w:val="24"/>
          <w:szCs w:val="24"/>
          <w:lang w:val="fr-FR"/>
        </w:rPr>
        <w:t xml:space="preserve">le </w:t>
      </w:r>
      <w:r w:rsidR="009421D5">
        <w:rPr>
          <w:rFonts w:asciiTheme="minorHAnsi" w:hAnsiTheme="minorHAnsi" w:cstheme="minorHAnsi"/>
          <w:sz w:val="24"/>
          <w:szCs w:val="24"/>
          <w:lang w:val="fr-FR"/>
        </w:rPr>
        <w:t xml:space="preserve">constat d’inconstitutionnalité </w:t>
      </w:r>
      <w:r w:rsidRPr="006E2F26">
        <w:rPr>
          <w:rFonts w:asciiTheme="minorHAnsi" w:hAnsiTheme="minorHAnsi" w:cstheme="minorHAnsi"/>
          <w:sz w:val="24"/>
          <w:szCs w:val="24"/>
          <w:lang w:val="fr-FR"/>
        </w:rPr>
        <w:t>s</w:t>
      </w:r>
      <w:r w:rsidR="009421D5">
        <w:rPr>
          <w:rFonts w:asciiTheme="minorHAnsi" w:hAnsiTheme="minorHAnsi" w:cstheme="minorHAnsi"/>
          <w:sz w:val="24"/>
          <w:szCs w:val="24"/>
          <w:lang w:val="fr-FR"/>
        </w:rPr>
        <w:t>oi</w:t>
      </w:r>
      <w:r w:rsidRPr="006E2F26">
        <w:rPr>
          <w:rFonts w:asciiTheme="minorHAnsi" w:hAnsiTheme="minorHAnsi" w:cstheme="minorHAnsi"/>
          <w:sz w:val="24"/>
          <w:szCs w:val="24"/>
          <w:lang w:val="fr-FR"/>
        </w:rPr>
        <w:t>t exprimé en des termes suffisamment précis et complets pour permettre de la combler</w:t>
      </w:r>
      <w:r w:rsidRPr="006E2F26">
        <w:rPr>
          <w:rStyle w:val="Appelnotedebasdep"/>
          <w:rFonts w:asciiTheme="minorHAnsi" w:hAnsiTheme="minorHAnsi" w:cstheme="minorHAnsi"/>
          <w:sz w:val="24"/>
          <w:szCs w:val="24"/>
          <w:lang w:val="fr-FR"/>
        </w:rPr>
        <w:footnoteReference w:id="15"/>
      </w:r>
      <w:r w:rsidR="00045D23" w:rsidRPr="006E2F26">
        <w:rPr>
          <w:rFonts w:asciiTheme="minorHAnsi" w:hAnsiTheme="minorHAnsi" w:cstheme="minorHAnsi"/>
          <w:sz w:val="24"/>
          <w:szCs w:val="24"/>
          <w:lang w:val="fr-FR"/>
        </w:rPr>
        <w:t xml:space="preserve"> ; ce comblement </w:t>
      </w:r>
      <w:r w:rsidR="00EA1534" w:rsidRPr="006E2F26">
        <w:rPr>
          <w:rFonts w:asciiTheme="minorHAnsi" w:hAnsiTheme="minorHAnsi" w:cstheme="minorHAnsi"/>
          <w:sz w:val="24"/>
          <w:szCs w:val="24"/>
          <w:lang w:val="fr-FR"/>
        </w:rPr>
        <w:t>intervenant</w:t>
      </w:r>
      <w:r w:rsidR="00045D23" w:rsidRPr="006E2F26">
        <w:rPr>
          <w:rFonts w:asciiTheme="minorHAnsi" w:hAnsiTheme="minorHAnsi" w:cstheme="minorHAnsi"/>
          <w:sz w:val="24"/>
          <w:szCs w:val="24"/>
          <w:lang w:val="fr-FR"/>
        </w:rPr>
        <w:t xml:space="preserve"> </w:t>
      </w:r>
      <w:r w:rsidRPr="006E2F26">
        <w:rPr>
          <w:rFonts w:asciiTheme="minorHAnsi" w:hAnsiTheme="minorHAnsi" w:cstheme="minorHAnsi"/>
          <w:sz w:val="24"/>
          <w:szCs w:val="24"/>
          <w:lang w:val="fr-FR"/>
        </w:rPr>
        <w:t xml:space="preserve">après qu’elle ait elle-même constaté l’inconstitutionnalité d’une loi. </w:t>
      </w:r>
      <w:r w:rsidR="006B2E09" w:rsidRPr="006E2F26">
        <w:rPr>
          <w:rFonts w:asciiTheme="minorHAnsi" w:hAnsiTheme="minorHAnsi" w:cstheme="minorHAnsi"/>
          <w:sz w:val="24"/>
          <w:szCs w:val="24"/>
          <w:lang w:val="fr-FR"/>
        </w:rPr>
        <w:t>La Cour constitutionnelle a même été jusqu’à autoriser le juge judiciaire à combler une lacune provenant du silence d’une autre disposition que celle sur laquelle la Cour est interrogée</w:t>
      </w:r>
      <w:r w:rsidR="006B2E09" w:rsidRPr="006E2F26">
        <w:rPr>
          <w:rStyle w:val="Appelnotedebasdep"/>
          <w:rFonts w:asciiTheme="minorHAnsi" w:hAnsiTheme="minorHAnsi" w:cstheme="minorHAnsi"/>
          <w:sz w:val="24"/>
          <w:szCs w:val="24"/>
          <w:lang w:val="fr-FR"/>
        </w:rPr>
        <w:footnoteReference w:id="16"/>
      </w:r>
      <w:r w:rsidR="006B2E09" w:rsidRPr="006E2F26">
        <w:rPr>
          <w:rFonts w:asciiTheme="minorHAnsi" w:hAnsiTheme="minorHAnsi" w:cstheme="minorHAnsi"/>
          <w:sz w:val="24"/>
          <w:szCs w:val="24"/>
          <w:lang w:val="fr-FR"/>
        </w:rPr>
        <w:t>.</w:t>
      </w:r>
    </w:p>
    <w:p w14:paraId="1C052124" w14:textId="77777777" w:rsidR="006B2E09" w:rsidRPr="006E2F26" w:rsidRDefault="006B2E09" w:rsidP="00340823">
      <w:pPr>
        <w:pStyle w:val="Textebrut"/>
        <w:tabs>
          <w:tab w:val="left" w:pos="1843"/>
        </w:tabs>
        <w:jc w:val="both"/>
        <w:rPr>
          <w:rFonts w:asciiTheme="minorHAnsi" w:hAnsiTheme="minorHAnsi" w:cstheme="minorHAnsi"/>
          <w:sz w:val="24"/>
          <w:szCs w:val="24"/>
          <w:lang w:val="fr-FR"/>
        </w:rPr>
      </w:pPr>
    </w:p>
    <w:p w14:paraId="0BD511E3" w14:textId="77777777" w:rsidR="001C7756" w:rsidRPr="006E2F26" w:rsidRDefault="006B2E09"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L</w:t>
      </w:r>
      <w:r w:rsidR="00E21CB5" w:rsidRPr="006E2F26">
        <w:rPr>
          <w:rFonts w:asciiTheme="minorHAnsi" w:hAnsiTheme="minorHAnsi" w:cstheme="minorHAnsi"/>
          <w:sz w:val="24"/>
          <w:szCs w:val="24"/>
          <w:lang w:val="fr-FR"/>
        </w:rPr>
        <w:t xml:space="preserve">a Cour de Cassation a tracé les contours de cette possibilité donné au juge judiciaire en précisant </w:t>
      </w:r>
      <w:r w:rsidR="001C7756" w:rsidRPr="006E2F26">
        <w:rPr>
          <w:rFonts w:asciiTheme="minorHAnsi" w:hAnsiTheme="minorHAnsi" w:cstheme="minorHAnsi"/>
          <w:sz w:val="24"/>
          <w:szCs w:val="24"/>
          <w:lang w:val="fr-FR"/>
        </w:rPr>
        <w:t xml:space="preserve">que le comblement peut être fait par le juge sauf « </w:t>
      </w:r>
      <w:r w:rsidR="001C7756" w:rsidRPr="009421D5">
        <w:rPr>
          <w:rFonts w:asciiTheme="minorHAnsi" w:hAnsiTheme="minorHAnsi" w:cstheme="minorHAnsi"/>
          <w:i/>
          <w:sz w:val="24"/>
          <w:szCs w:val="24"/>
          <w:lang w:val="fr-FR"/>
        </w:rPr>
        <w:t>s'il requiert un régime procédural totalement différent</w:t>
      </w:r>
      <w:r w:rsidR="001C7756" w:rsidRPr="006E2F26">
        <w:rPr>
          <w:rFonts w:asciiTheme="minorHAnsi" w:hAnsiTheme="minorHAnsi" w:cstheme="minorHAnsi"/>
          <w:sz w:val="24"/>
          <w:szCs w:val="24"/>
          <w:lang w:val="fr-FR"/>
        </w:rPr>
        <w:t xml:space="preserve"> », s'il « </w:t>
      </w:r>
      <w:r w:rsidR="001C7756" w:rsidRPr="009421D5">
        <w:rPr>
          <w:rFonts w:asciiTheme="minorHAnsi" w:hAnsiTheme="minorHAnsi" w:cstheme="minorHAnsi"/>
          <w:i/>
          <w:sz w:val="24"/>
          <w:szCs w:val="24"/>
          <w:lang w:val="fr-FR"/>
        </w:rPr>
        <w:t>requiert de violer un autre texte constitutionnel</w:t>
      </w:r>
      <w:r w:rsidR="001C7756" w:rsidRPr="006E2F26">
        <w:rPr>
          <w:rFonts w:asciiTheme="minorHAnsi" w:hAnsiTheme="minorHAnsi" w:cstheme="minorHAnsi"/>
          <w:sz w:val="24"/>
          <w:szCs w:val="24"/>
          <w:lang w:val="fr-FR"/>
        </w:rPr>
        <w:t xml:space="preserve">», si le juge « </w:t>
      </w:r>
      <w:r w:rsidR="001C7756" w:rsidRPr="009421D5">
        <w:rPr>
          <w:rFonts w:asciiTheme="minorHAnsi" w:hAnsiTheme="minorHAnsi" w:cstheme="minorHAnsi"/>
          <w:i/>
          <w:sz w:val="24"/>
          <w:szCs w:val="24"/>
          <w:lang w:val="fr-FR"/>
        </w:rPr>
        <w:t>se trouve confronté à des choix que seul le législateur peut opérer</w:t>
      </w:r>
      <w:r w:rsidR="001C7756" w:rsidRPr="006E2F26">
        <w:rPr>
          <w:rFonts w:asciiTheme="minorHAnsi" w:hAnsiTheme="minorHAnsi" w:cstheme="minorHAnsi"/>
          <w:sz w:val="24"/>
          <w:szCs w:val="24"/>
          <w:lang w:val="fr-FR"/>
        </w:rPr>
        <w:t xml:space="preserve"> », « </w:t>
      </w:r>
      <w:r w:rsidR="001C7756" w:rsidRPr="009421D5">
        <w:rPr>
          <w:rFonts w:asciiTheme="minorHAnsi" w:hAnsiTheme="minorHAnsi" w:cstheme="minorHAnsi"/>
          <w:i/>
          <w:sz w:val="24"/>
          <w:szCs w:val="24"/>
          <w:lang w:val="fr-FR"/>
        </w:rPr>
        <w:t>si la nouvelle règle doit faire l'objet d'une réévaluation des intérêts sociaux par le législateur</w:t>
      </w:r>
      <w:r w:rsidR="001C7756" w:rsidRPr="006E2F26">
        <w:rPr>
          <w:rFonts w:asciiTheme="minorHAnsi" w:hAnsiTheme="minorHAnsi" w:cstheme="minorHAnsi"/>
          <w:sz w:val="24"/>
          <w:szCs w:val="24"/>
          <w:lang w:val="fr-FR"/>
        </w:rPr>
        <w:t xml:space="preserve">» ou enfin « </w:t>
      </w:r>
      <w:r w:rsidR="001C7756" w:rsidRPr="009421D5">
        <w:rPr>
          <w:rFonts w:asciiTheme="minorHAnsi" w:hAnsiTheme="minorHAnsi" w:cstheme="minorHAnsi"/>
          <w:i/>
          <w:sz w:val="24"/>
          <w:szCs w:val="24"/>
          <w:lang w:val="fr-FR"/>
        </w:rPr>
        <w:t>si elle requiert une modification d'une ou plusieurs dispositions légales</w:t>
      </w:r>
      <w:r w:rsidR="001C7756" w:rsidRPr="006E2F26">
        <w:rPr>
          <w:rFonts w:asciiTheme="minorHAnsi" w:hAnsiTheme="minorHAnsi" w:cstheme="minorHAnsi"/>
          <w:sz w:val="24"/>
          <w:szCs w:val="24"/>
          <w:lang w:val="fr-FR"/>
        </w:rPr>
        <w:t xml:space="preserve"> »</w:t>
      </w:r>
      <w:r w:rsidR="001C7756" w:rsidRPr="006E2F26">
        <w:rPr>
          <w:rStyle w:val="Appelnotedebasdep"/>
          <w:rFonts w:asciiTheme="minorHAnsi" w:hAnsiTheme="minorHAnsi" w:cstheme="minorHAnsi"/>
          <w:sz w:val="24"/>
          <w:szCs w:val="24"/>
          <w:lang w:val="fr-FR"/>
        </w:rPr>
        <w:footnoteReference w:id="17"/>
      </w:r>
      <w:r w:rsidR="009421D5">
        <w:rPr>
          <w:rFonts w:asciiTheme="minorHAnsi" w:hAnsiTheme="minorHAnsi" w:cstheme="minorHAnsi"/>
          <w:sz w:val="24"/>
          <w:szCs w:val="24"/>
          <w:lang w:val="fr-FR"/>
        </w:rPr>
        <w:t>.</w:t>
      </w:r>
    </w:p>
    <w:p w14:paraId="081BE099" w14:textId="77777777" w:rsidR="00E21CB5" w:rsidRPr="006E2F26" w:rsidRDefault="00E21CB5" w:rsidP="00340823">
      <w:pPr>
        <w:pStyle w:val="Textebrut"/>
        <w:tabs>
          <w:tab w:val="left" w:pos="1843"/>
        </w:tabs>
        <w:jc w:val="both"/>
        <w:rPr>
          <w:rFonts w:asciiTheme="minorHAnsi" w:hAnsiTheme="minorHAnsi" w:cstheme="minorHAnsi"/>
          <w:sz w:val="24"/>
          <w:szCs w:val="24"/>
          <w:lang w:val="fr-FR"/>
        </w:rPr>
      </w:pPr>
    </w:p>
    <w:p w14:paraId="30840ABA" w14:textId="77777777" w:rsidR="00E21CB5" w:rsidRPr="006E2F26" w:rsidRDefault="001C7756"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Il est important de préciser que</w:t>
      </w:r>
      <w:r w:rsidR="00E21CB5" w:rsidRPr="006E2F26">
        <w:rPr>
          <w:rFonts w:asciiTheme="minorHAnsi" w:hAnsiTheme="minorHAnsi" w:cstheme="minorHAnsi"/>
          <w:sz w:val="24"/>
          <w:szCs w:val="24"/>
          <w:lang w:val="fr-FR"/>
        </w:rPr>
        <w:t xml:space="preserve"> dans ce type de cas, c’est la Cour constitutionnelle qui a constaté l’inconstitutionnalité de la norme législative.</w:t>
      </w:r>
    </w:p>
    <w:p w14:paraId="549C3D70" w14:textId="77777777" w:rsidR="00E21CB5" w:rsidRPr="006E2F26" w:rsidRDefault="00E21CB5" w:rsidP="00340823">
      <w:pPr>
        <w:pStyle w:val="Textebrut"/>
        <w:tabs>
          <w:tab w:val="left" w:pos="1843"/>
        </w:tabs>
        <w:jc w:val="both"/>
        <w:rPr>
          <w:rFonts w:asciiTheme="minorHAnsi" w:hAnsiTheme="minorHAnsi" w:cstheme="minorHAnsi"/>
          <w:sz w:val="24"/>
          <w:szCs w:val="24"/>
          <w:lang w:val="fr-FR"/>
        </w:rPr>
      </w:pPr>
    </w:p>
    <w:p w14:paraId="08EDD08D" w14:textId="77777777" w:rsidR="00A20063" w:rsidRPr="006E2F26" w:rsidRDefault="00E21CB5"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Le </w:t>
      </w:r>
      <w:r w:rsidR="007E1895" w:rsidRPr="006E2F26">
        <w:rPr>
          <w:rFonts w:asciiTheme="minorHAnsi" w:hAnsiTheme="minorHAnsi" w:cstheme="minorHAnsi"/>
          <w:sz w:val="24"/>
          <w:szCs w:val="24"/>
          <w:lang w:val="fr-FR"/>
        </w:rPr>
        <w:t xml:space="preserve">constat d’illégalité ou d’inconstitutionnalité </w:t>
      </w:r>
      <w:r w:rsidR="006B2E09" w:rsidRPr="006E2F26">
        <w:rPr>
          <w:rFonts w:asciiTheme="minorHAnsi" w:hAnsiTheme="minorHAnsi" w:cstheme="minorHAnsi"/>
          <w:sz w:val="24"/>
          <w:szCs w:val="24"/>
          <w:lang w:val="fr-FR"/>
        </w:rPr>
        <w:t>du juge judiciaire à l’égard d’u</w:t>
      </w:r>
      <w:r w:rsidRPr="006E2F26">
        <w:rPr>
          <w:rFonts w:asciiTheme="minorHAnsi" w:hAnsiTheme="minorHAnsi" w:cstheme="minorHAnsi"/>
          <w:sz w:val="24"/>
          <w:szCs w:val="24"/>
          <w:lang w:val="fr-FR"/>
        </w:rPr>
        <w:t xml:space="preserve">n acte réglementaire </w:t>
      </w:r>
      <w:r w:rsidR="007E1895" w:rsidRPr="006E2F26">
        <w:rPr>
          <w:rFonts w:asciiTheme="minorHAnsi" w:hAnsiTheme="minorHAnsi" w:cstheme="minorHAnsi"/>
          <w:sz w:val="24"/>
          <w:szCs w:val="24"/>
          <w:lang w:val="fr-FR"/>
        </w:rPr>
        <w:t xml:space="preserve">peut également résulter d’une lacune, notamment lorsqu’une catégorie de personnes </w:t>
      </w:r>
      <w:r w:rsidR="00882799" w:rsidRPr="006E2F26">
        <w:rPr>
          <w:rFonts w:asciiTheme="minorHAnsi" w:hAnsiTheme="minorHAnsi" w:cstheme="minorHAnsi"/>
          <w:sz w:val="24"/>
          <w:szCs w:val="24"/>
          <w:lang w:val="fr-FR"/>
        </w:rPr>
        <w:t>est exclue</w:t>
      </w:r>
      <w:r w:rsidR="007E1895" w:rsidRPr="006E2F26">
        <w:rPr>
          <w:rFonts w:asciiTheme="minorHAnsi" w:hAnsiTheme="minorHAnsi" w:cstheme="minorHAnsi"/>
          <w:sz w:val="24"/>
          <w:szCs w:val="24"/>
          <w:lang w:val="fr-FR"/>
        </w:rPr>
        <w:t xml:space="preserve"> de certains droits. Se pose dès lors également la question de savoir si le </w:t>
      </w:r>
      <w:r w:rsidR="00882799" w:rsidRPr="006E2F26">
        <w:rPr>
          <w:rFonts w:asciiTheme="minorHAnsi" w:hAnsiTheme="minorHAnsi" w:cstheme="minorHAnsi"/>
          <w:sz w:val="24"/>
          <w:szCs w:val="24"/>
          <w:lang w:val="fr-FR"/>
        </w:rPr>
        <w:t>j</w:t>
      </w:r>
      <w:r w:rsidR="007E1895" w:rsidRPr="006E2F26">
        <w:rPr>
          <w:rFonts w:asciiTheme="minorHAnsi" w:hAnsiTheme="minorHAnsi" w:cstheme="minorHAnsi"/>
          <w:sz w:val="24"/>
          <w:szCs w:val="24"/>
          <w:lang w:val="fr-FR"/>
        </w:rPr>
        <w:t>uge peut combler cette lacune.</w:t>
      </w:r>
    </w:p>
    <w:p w14:paraId="2666630D" w14:textId="77777777" w:rsidR="007E1895" w:rsidRPr="006E2F26" w:rsidRDefault="007E1895" w:rsidP="00340823">
      <w:pPr>
        <w:pStyle w:val="Textebrut"/>
        <w:tabs>
          <w:tab w:val="left" w:pos="1843"/>
        </w:tabs>
        <w:jc w:val="both"/>
        <w:rPr>
          <w:rFonts w:asciiTheme="minorHAnsi" w:hAnsiTheme="minorHAnsi" w:cstheme="minorHAnsi"/>
          <w:sz w:val="24"/>
          <w:szCs w:val="24"/>
          <w:lang w:val="fr-FR"/>
        </w:rPr>
      </w:pPr>
    </w:p>
    <w:p w14:paraId="40F2BB8B" w14:textId="77777777" w:rsidR="005C262F" w:rsidRPr="006E2F26" w:rsidRDefault="007E1895" w:rsidP="00126B11">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La Cour de Cassation y est opposée. Selon s</w:t>
      </w:r>
      <w:r w:rsidR="0071069B" w:rsidRPr="006E2F26">
        <w:rPr>
          <w:rFonts w:asciiTheme="minorHAnsi" w:hAnsiTheme="minorHAnsi" w:cstheme="minorHAnsi"/>
          <w:sz w:val="24"/>
          <w:szCs w:val="24"/>
          <w:lang w:val="fr-FR"/>
        </w:rPr>
        <w:t>a</w:t>
      </w:r>
      <w:r w:rsidR="00730C95" w:rsidRPr="006E2F26">
        <w:rPr>
          <w:rFonts w:asciiTheme="minorHAnsi" w:hAnsiTheme="minorHAnsi" w:cstheme="minorHAnsi"/>
          <w:sz w:val="24"/>
          <w:szCs w:val="24"/>
          <w:lang w:val="fr-FR"/>
        </w:rPr>
        <w:t xml:space="preserve"> jurisprudence constante</w:t>
      </w:r>
      <w:r w:rsidRPr="006E2F26">
        <w:rPr>
          <w:rFonts w:asciiTheme="minorHAnsi" w:hAnsiTheme="minorHAnsi" w:cstheme="minorHAnsi"/>
          <w:sz w:val="24"/>
          <w:szCs w:val="24"/>
          <w:lang w:val="fr-FR"/>
        </w:rPr>
        <w:t xml:space="preserve">, </w:t>
      </w:r>
      <w:r w:rsidR="00B6769F" w:rsidRPr="006E2F26">
        <w:rPr>
          <w:rFonts w:asciiTheme="minorHAnsi" w:hAnsiTheme="minorHAnsi" w:cstheme="minorHAnsi"/>
          <w:sz w:val="24"/>
          <w:szCs w:val="24"/>
          <w:lang w:val="fr-FR"/>
        </w:rPr>
        <w:t xml:space="preserve">« </w:t>
      </w:r>
      <w:r w:rsidR="00B6769F" w:rsidRPr="006E2F26">
        <w:rPr>
          <w:rFonts w:asciiTheme="minorHAnsi" w:hAnsiTheme="minorHAnsi" w:cstheme="minorHAnsi"/>
          <w:i/>
          <w:sz w:val="24"/>
          <w:szCs w:val="24"/>
          <w:lang w:val="fr-FR"/>
        </w:rPr>
        <w:t>la non-application d’un arrêté royal en vertu de l’article 159 de la Constitution a pour seule conséquence de ne</w:t>
      </w:r>
      <w:r w:rsidR="00B6769F" w:rsidRPr="006E2F26">
        <w:rPr>
          <w:rFonts w:asciiTheme="minorHAnsi" w:hAnsiTheme="minorHAnsi" w:cstheme="minorHAnsi"/>
          <w:i/>
          <w:sz w:val="24"/>
          <w:szCs w:val="24"/>
        </w:rPr>
        <w:t xml:space="preserve"> </w:t>
      </w:r>
      <w:r w:rsidR="00B6769F" w:rsidRPr="006E2F26">
        <w:rPr>
          <w:rFonts w:asciiTheme="minorHAnsi" w:hAnsiTheme="minorHAnsi" w:cstheme="minorHAnsi"/>
          <w:i/>
          <w:sz w:val="24"/>
          <w:szCs w:val="24"/>
          <w:lang w:val="fr-FR"/>
        </w:rPr>
        <w:t>faire naître ni droit ni obligation pour les intéressés</w:t>
      </w:r>
      <w:r w:rsidR="00B6769F" w:rsidRPr="006E2F26">
        <w:rPr>
          <w:rFonts w:asciiTheme="minorHAnsi" w:hAnsiTheme="minorHAnsi" w:cstheme="minorHAnsi"/>
          <w:sz w:val="24"/>
          <w:szCs w:val="24"/>
          <w:lang w:val="fr-FR"/>
        </w:rPr>
        <w:t xml:space="preserve"> »</w:t>
      </w:r>
      <w:r w:rsidR="00B6769F" w:rsidRPr="006E2F26">
        <w:rPr>
          <w:rStyle w:val="Appelnotedebasdep"/>
          <w:rFonts w:asciiTheme="minorHAnsi" w:hAnsiTheme="minorHAnsi" w:cstheme="minorHAnsi"/>
          <w:sz w:val="24"/>
          <w:szCs w:val="24"/>
          <w:lang w:val="fr-FR"/>
        </w:rPr>
        <w:footnoteReference w:id="18"/>
      </w:r>
      <w:r w:rsidR="005C262F" w:rsidRPr="006E2F26">
        <w:rPr>
          <w:rFonts w:asciiTheme="minorHAnsi" w:hAnsiTheme="minorHAnsi" w:cstheme="minorHAnsi"/>
          <w:sz w:val="24"/>
          <w:szCs w:val="24"/>
          <w:lang w:val="fr-FR"/>
        </w:rPr>
        <w:t>. Elle a récemment encore précisé :</w:t>
      </w:r>
    </w:p>
    <w:p w14:paraId="3B11AAD3" w14:textId="77777777" w:rsidR="005C262F" w:rsidRPr="006E2F26" w:rsidRDefault="005C262F" w:rsidP="00126B11">
      <w:pPr>
        <w:pStyle w:val="Textebrut"/>
        <w:tabs>
          <w:tab w:val="left" w:pos="1843"/>
        </w:tabs>
        <w:jc w:val="both"/>
        <w:rPr>
          <w:rFonts w:asciiTheme="minorHAnsi" w:hAnsiTheme="minorHAnsi" w:cstheme="minorHAnsi"/>
          <w:sz w:val="24"/>
          <w:szCs w:val="24"/>
          <w:lang w:val="fr-FR"/>
        </w:rPr>
      </w:pPr>
    </w:p>
    <w:p w14:paraId="2FD326A3" w14:textId="77777777" w:rsidR="005C262F" w:rsidRPr="006E2F26" w:rsidRDefault="005C262F" w:rsidP="00126B11">
      <w:pPr>
        <w:pStyle w:val="Textebrut"/>
        <w:tabs>
          <w:tab w:val="left" w:pos="1843"/>
        </w:tabs>
        <w:jc w:val="both"/>
        <w:rPr>
          <w:rFonts w:asciiTheme="minorHAnsi" w:hAnsiTheme="minorHAnsi" w:cstheme="minorHAnsi"/>
          <w:i/>
          <w:sz w:val="24"/>
          <w:szCs w:val="24"/>
          <w:lang w:val="fr-FR"/>
        </w:rPr>
      </w:pPr>
      <w:r w:rsidRPr="006E2F26">
        <w:rPr>
          <w:rFonts w:asciiTheme="minorHAnsi" w:hAnsiTheme="minorHAnsi" w:cstheme="minorHAnsi"/>
          <w:sz w:val="24"/>
          <w:szCs w:val="24"/>
          <w:lang w:val="fr-FR"/>
        </w:rPr>
        <w:t>« </w:t>
      </w:r>
      <w:r w:rsidRPr="006E2F26">
        <w:rPr>
          <w:rFonts w:asciiTheme="minorHAnsi" w:hAnsiTheme="minorHAnsi" w:cstheme="minorHAnsi"/>
          <w:i/>
          <w:sz w:val="24"/>
          <w:szCs w:val="24"/>
          <w:lang w:val="fr-FR"/>
        </w:rPr>
        <w:t>Le juge, qui constate l’illégalité d’un acte administratif, est tenu de le priver d’effet.</w:t>
      </w:r>
    </w:p>
    <w:p w14:paraId="527E07B7" w14:textId="77777777" w:rsidR="005C262F" w:rsidRPr="006E2F26" w:rsidRDefault="005C262F" w:rsidP="00126B11">
      <w:pPr>
        <w:pStyle w:val="Textebrut"/>
        <w:tabs>
          <w:tab w:val="left" w:pos="1843"/>
        </w:tabs>
        <w:jc w:val="both"/>
        <w:rPr>
          <w:rFonts w:asciiTheme="minorHAnsi" w:hAnsiTheme="minorHAnsi" w:cstheme="minorHAnsi"/>
          <w:i/>
          <w:sz w:val="24"/>
          <w:szCs w:val="24"/>
          <w:lang w:val="fr-FR"/>
        </w:rPr>
      </w:pPr>
    </w:p>
    <w:p w14:paraId="47FAE2C7" w14:textId="77777777" w:rsidR="005C262F" w:rsidRPr="006E2F26" w:rsidRDefault="005C262F" w:rsidP="00126B11">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i/>
          <w:sz w:val="24"/>
          <w:szCs w:val="24"/>
          <w:lang w:val="fr-FR"/>
        </w:rPr>
        <w:lastRenderedPageBreak/>
        <w:t xml:space="preserve">Il ne s’ensuit en revanche pas que, lorsque l’illégalité de l’acte administratif résulte d’une lacune contraire aux principes constitutionnels d’égalité et de non-discrimination, le juge puisse y remédier en étendant l’application de cet acte à la catégorie discriminée, fût-ce en écartant de la définition de son champ d’application les </w:t>
      </w:r>
      <w:r w:rsidR="00D4747C" w:rsidRPr="006E2F26">
        <w:rPr>
          <w:rFonts w:asciiTheme="minorHAnsi" w:hAnsiTheme="minorHAnsi" w:cstheme="minorHAnsi"/>
          <w:i/>
          <w:sz w:val="24"/>
          <w:szCs w:val="24"/>
          <w:lang w:val="fr-FR"/>
        </w:rPr>
        <w:t>termes où gît la discrimination</w:t>
      </w:r>
      <w:r w:rsidR="00730C95" w:rsidRPr="006E2F26">
        <w:rPr>
          <w:rStyle w:val="Appelnotedebasdep"/>
          <w:rFonts w:asciiTheme="minorHAnsi" w:hAnsiTheme="minorHAnsi" w:cstheme="minorHAnsi"/>
          <w:sz w:val="24"/>
          <w:szCs w:val="24"/>
          <w:lang w:val="fr-FR"/>
        </w:rPr>
        <w:footnoteReference w:id="19"/>
      </w:r>
      <w:r w:rsidR="00D4747C" w:rsidRPr="006E2F26">
        <w:rPr>
          <w:rFonts w:asciiTheme="minorHAnsi" w:hAnsiTheme="minorHAnsi" w:cstheme="minorHAnsi"/>
          <w:i/>
          <w:sz w:val="24"/>
          <w:szCs w:val="24"/>
          <w:lang w:val="fr-FR"/>
        </w:rPr>
        <w:t xml:space="preserve"> </w:t>
      </w:r>
      <w:r w:rsidRPr="006E2F26">
        <w:rPr>
          <w:rFonts w:asciiTheme="minorHAnsi" w:hAnsiTheme="minorHAnsi" w:cstheme="minorHAnsi"/>
          <w:sz w:val="24"/>
          <w:szCs w:val="24"/>
          <w:lang w:val="fr-FR"/>
        </w:rPr>
        <w:t>»</w:t>
      </w:r>
      <w:r w:rsidR="00D4747C" w:rsidRPr="006E2F26">
        <w:rPr>
          <w:rFonts w:asciiTheme="minorHAnsi" w:hAnsiTheme="minorHAnsi" w:cstheme="minorHAnsi"/>
          <w:sz w:val="24"/>
          <w:szCs w:val="24"/>
          <w:lang w:val="fr-FR"/>
        </w:rPr>
        <w:t>.</w:t>
      </w:r>
    </w:p>
    <w:p w14:paraId="7EDACA53" w14:textId="77777777" w:rsidR="005C262F" w:rsidRPr="006E2F26" w:rsidRDefault="005C262F" w:rsidP="00126B11">
      <w:pPr>
        <w:pStyle w:val="Textebrut"/>
        <w:tabs>
          <w:tab w:val="left" w:pos="1843"/>
        </w:tabs>
        <w:jc w:val="both"/>
        <w:rPr>
          <w:rFonts w:asciiTheme="minorHAnsi" w:hAnsiTheme="minorHAnsi" w:cstheme="minorHAnsi"/>
          <w:sz w:val="24"/>
          <w:szCs w:val="24"/>
          <w:lang w:val="fr-FR"/>
        </w:rPr>
      </w:pPr>
    </w:p>
    <w:p w14:paraId="2A90D0C8" w14:textId="77777777" w:rsidR="005245E6" w:rsidRPr="006E2F26" w:rsidRDefault="00730C95" w:rsidP="00126B11">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La doctrine va généralement dans ce sens également</w:t>
      </w:r>
      <w:r w:rsidR="00900323" w:rsidRPr="006E2F26">
        <w:rPr>
          <w:rStyle w:val="Appelnotedebasdep"/>
          <w:rFonts w:asciiTheme="minorHAnsi" w:hAnsiTheme="minorHAnsi" w:cstheme="minorHAnsi"/>
          <w:sz w:val="24"/>
          <w:szCs w:val="24"/>
          <w:lang w:val="fr-FR"/>
        </w:rPr>
        <w:footnoteReference w:id="20"/>
      </w:r>
      <w:r w:rsidR="00B6769F" w:rsidRPr="006E2F26">
        <w:rPr>
          <w:rFonts w:asciiTheme="minorHAnsi" w:hAnsiTheme="minorHAnsi" w:cstheme="minorHAnsi"/>
          <w:sz w:val="24"/>
          <w:szCs w:val="24"/>
          <w:lang w:val="fr-FR"/>
        </w:rPr>
        <w:t>.</w:t>
      </w:r>
    </w:p>
    <w:p w14:paraId="10A66199" w14:textId="77777777" w:rsidR="00730C95" w:rsidRPr="006E2F26" w:rsidRDefault="00730C95" w:rsidP="00126B11">
      <w:pPr>
        <w:pStyle w:val="Textebrut"/>
        <w:tabs>
          <w:tab w:val="left" w:pos="1843"/>
        </w:tabs>
        <w:jc w:val="both"/>
        <w:rPr>
          <w:rFonts w:asciiTheme="minorHAnsi" w:hAnsiTheme="minorHAnsi" w:cstheme="minorHAnsi"/>
          <w:sz w:val="24"/>
          <w:szCs w:val="24"/>
          <w:lang w:val="fr-FR"/>
        </w:rPr>
      </w:pPr>
    </w:p>
    <w:p w14:paraId="59FAF55C" w14:textId="77777777" w:rsidR="00730C95" w:rsidRPr="006E2F26" w:rsidRDefault="00730C95" w:rsidP="00126B11">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Dans son avis non conforme à l’arrêt de la Cour de Cassation du 4 novembre 2020 précité, </w:t>
      </w:r>
      <w:r w:rsidR="00666C6E">
        <w:rPr>
          <w:rFonts w:asciiTheme="minorHAnsi" w:hAnsiTheme="minorHAnsi" w:cstheme="minorHAnsi"/>
          <w:sz w:val="24"/>
          <w:szCs w:val="24"/>
          <w:lang w:val="fr-FR"/>
        </w:rPr>
        <w:t xml:space="preserve">Monsieur </w:t>
      </w:r>
      <w:r w:rsidRPr="006E2F26">
        <w:rPr>
          <w:rFonts w:asciiTheme="minorHAnsi" w:hAnsiTheme="minorHAnsi" w:cstheme="minorHAnsi"/>
          <w:sz w:val="24"/>
          <w:szCs w:val="24"/>
          <w:lang w:val="fr-FR"/>
        </w:rPr>
        <w:t>l’Avocat Général de KOSTER admettait toutefois la possibilité pour le juge judiciaire de comble une lacune en précisant (le Tribunal souligne) :</w:t>
      </w:r>
    </w:p>
    <w:p w14:paraId="0BA3AEE7" w14:textId="77777777" w:rsidR="00730C95" w:rsidRPr="006E2F26" w:rsidRDefault="00730C95" w:rsidP="00126B11">
      <w:pPr>
        <w:pStyle w:val="Textebrut"/>
        <w:tabs>
          <w:tab w:val="left" w:pos="1843"/>
        </w:tabs>
        <w:jc w:val="both"/>
        <w:rPr>
          <w:rFonts w:asciiTheme="minorHAnsi" w:hAnsiTheme="minorHAnsi" w:cstheme="minorHAnsi"/>
          <w:sz w:val="24"/>
          <w:szCs w:val="24"/>
          <w:lang w:val="fr-FR"/>
        </w:rPr>
      </w:pPr>
    </w:p>
    <w:p w14:paraId="21799DA6" w14:textId="77777777" w:rsidR="00D4747C" w:rsidRPr="006E2F26" w:rsidRDefault="00730C95" w:rsidP="00126B11">
      <w:pPr>
        <w:pStyle w:val="Textebrut"/>
        <w:tabs>
          <w:tab w:val="left" w:pos="1843"/>
        </w:tabs>
        <w:jc w:val="both"/>
        <w:rPr>
          <w:rFonts w:asciiTheme="minorHAnsi" w:hAnsiTheme="minorHAnsi" w:cstheme="minorHAnsi"/>
          <w:i/>
          <w:sz w:val="24"/>
          <w:szCs w:val="24"/>
          <w:lang w:val="fr-FR"/>
        </w:rPr>
      </w:pPr>
      <w:r w:rsidRPr="006E2F26">
        <w:rPr>
          <w:rFonts w:asciiTheme="minorHAnsi" w:hAnsiTheme="minorHAnsi" w:cstheme="minorHAnsi"/>
          <w:sz w:val="24"/>
          <w:szCs w:val="24"/>
          <w:lang w:val="fr-FR"/>
        </w:rPr>
        <w:t>« </w:t>
      </w:r>
      <w:r w:rsidR="00D4747C" w:rsidRPr="006E2F26">
        <w:rPr>
          <w:rFonts w:asciiTheme="minorHAnsi" w:hAnsiTheme="minorHAnsi" w:cstheme="minorHAnsi"/>
          <w:i/>
          <w:sz w:val="24"/>
          <w:szCs w:val="24"/>
          <w:lang w:val="fr-FR"/>
        </w:rPr>
        <w:t>J’estime pouvoir en déduire que le rôle du juge n’est pas limité – et ne peut l’être- à un</w:t>
      </w:r>
      <w:r w:rsidR="00C001B0" w:rsidRPr="006E2F26">
        <w:rPr>
          <w:rFonts w:asciiTheme="minorHAnsi" w:hAnsiTheme="minorHAnsi" w:cstheme="minorHAnsi"/>
          <w:i/>
          <w:sz w:val="24"/>
          <w:szCs w:val="24"/>
          <w:lang w:val="fr-FR"/>
        </w:rPr>
        <w:t xml:space="preserve"> </w:t>
      </w:r>
      <w:r w:rsidR="00D4747C" w:rsidRPr="006E2F26">
        <w:rPr>
          <w:rFonts w:asciiTheme="minorHAnsi" w:hAnsiTheme="minorHAnsi" w:cstheme="minorHAnsi"/>
          <w:i/>
          <w:sz w:val="24"/>
          <w:szCs w:val="24"/>
          <w:lang w:val="fr-FR"/>
        </w:rPr>
        <w:t>simple constat conduisant de manière quelque peu automatique à un refus d’application de la norme entachée d’une inconstitutionnalité. Bien au contraire, le juge a l’obligation de remédier à l’inconstitutionnalité pour autant qu’il ne s’immisce pas dans les compétences spécifiques des autres pouvoirs.</w:t>
      </w:r>
    </w:p>
    <w:p w14:paraId="51A1B8F4" w14:textId="77777777" w:rsidR="00D4747C" w:rsidRPr="006E2F26" w:rsidRDefault="00D4747C" w:rsidP="00126B11">
      <w:pPr>
        <w:pStyle w:val="Textebrut"/>
        <w:tabs>
          <w:tab w:val="left" w:pos="1843"/>
        </w:tabs>
        <w:jc w:val="both"/>
        <w:rPr>
          <w:rFonts w:asciiTheme="minorHAnsi" w:hAnsiTheme="minorHAnsi" w:cstheme="minorHAnsi"/>
          <w:i/>
          <w:sz w:val="24"/>
          <w:szCs w:val="24"/>
          <w:lang w:val="fr-FR"/>
        </w:rPr>
      </w:pPr>
      <w:r w:rsidRPr="006E2F26">
        <w:rPr>
          <w:rFonts w:asciiTheme="minorHAnsi" w:hAnsiTheme="minorHAnsi" w:cstheme="minorHAnsi"/>
          <w:i/>
          <w:sz w:val="24"/>
          <w:szCs w:val="24"/>
          <w:lang w:val="fr-FR"/>
        </w:rPr>
        <w:t>(…)</w:t>
      </w:r>
    </w:p>
    <w:p w14:paraId="444145B4" w14:textId="77777777" w:rsidR="00730C95" w:rsidRPr="006E2F26" w:rsidRDefault="00D4747C" w:rsidP="00126B11">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i/>
          <w:sz w:val="24"/>
          <w:szCs w:val="24"/>
          <w:lang w:val="fr-FR"/>
        </w:rPr>
        <w:t>L</w:t>
      </w:r>
      <w:r w:rsidR="00730C95" w:rsidRPr="006E2F26">
        <w:rPr>
          <w:rFonts w:asciiTheme="minorHAnsi" w:hAnsiTheme="minorHAnsi" w:cstheme="minorHAnsi"/>
          <w:i/>
          <w:sz w:val="24"/>
          <w:szCs w:val="24"/>
          <w:lang w:val="fr-FR"/>
        </w:rPr>
        <w:t xml:space="preserve">e juge judiciaire est tenu de procéder à l’examen de la cause d’inconstitutionnalité et a l’obligation d’y remédier </w:t>
      </w:r>
      <w:r w:rsidR="00730C95" w:rsidRPr="006E2F26">
        <w:rPr>
          <w:rFonts w:asciiTheme="minorHAnsi" w:hAnsiTheme="minorHAnsi" w:cstheme="minorHAnsi"/>
          <w:i/>
          <w:sz w:val="24"/>
          <w:szCs w:val="24"/>
          <w:u w:val="single"/>
          <w:lang w:val="fr-FR"/>
        </w:rPr>
        <w:t>si la lacune est suffisamment précise et n’exige pas l’instauration de nouvelles règles qui doivent faire l’objet d’une réévaluation des intérêts ou qui n’implique pas la naissance de droits ou d’</w:t>
      </w:r>
      <w:r w:rsidRPr="006E2F26">
        <w:rPr>
          <w:rFonts w:asciiTheme="minorHAnsi" w:hAnsiTheme="minorHAnsi" w:cstheme="minorHAnsi"/>
          <w:i/>
          <w:sz w:val="24"/>
          <w:szCs w:val="24"/>
          <w:u w:val="single"/>
          <w:lang w:val="fr-FR"/>
        </w:rPr>
        <w:t>obligations pour les intéressés</w:t>
      </w:r>
      <w:r w:rsidR="00730C95" w:rsidRPr="006E2F26">
        <w:rPr>
          <w:rStyle w:val="Appelnotedebasdep"/>
          <w:rFonts w:asciiTheme="minorHAnsi" w:hAnsiTheme="minorHAnsi" w:cstheme="minorHAnsi"/>
          <w:sz w:val="24"/>
          <w:szCs w:val="24"/>
          <w:lang w:val="fr-FR"/>
        </w:rPr>
        <w:footnoteReference w:id="21"/>
      </w:r>
      <w:r w:rsidRPr="006E2F26">
        <w:rPr>
          <w:rFonts w:asciiTheme="minorHAnsi" w:hAnsiTheme="minorHAnsi" w:cstheme="minorHAnsi"/>
          <w:sz w:val="24"/>
          <w:szCs w:val="24"/>
          <w:lang w:val="fr-FR"/>
        </w:rPr>
        <w:t> ».</w:t>
      </w:r>
    </w:p>
    <w:p w14:paraId="171BD4CC" w14:textId="77777777" w:rsidR="00730C95" w:rsidRPr="006E2F26" w:rsidRDefault="00730C95" w:rsidP="00126B11">
      <w:pPr>
        <w:pStyle w:val="Textebrut"/>
        <w:tabs>
          <w:tab w:val="left" w:pos="1843"/>
        </w:tabs>
        <w:jc w:val="both"/>
        <w:rPr>
          <w:rFonts w:asciiTheme="minorHAnsi" w:hAnsiTheme="minorHAnsi" w:cstheme="minorHAnsi"/>
          <w:sz w:val="24"/>
          <w:szCs w:val="24"/>
          <w:lang w:val="fr-FR"/>
        </w:rPr>
      </w:pPr>
    </w:p>
    <w:p w14:paraId="21BF57C0" w14:textId="77777777" w:rsidR="00730C95" w:rsidRPr="006E2F26" w:rsidRDefault="00730C95" w:rsidP="00126B11">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Il appliquait par analogie, la possibilité donnée par la</w:t>
      </w:r>
      <w:r w:rsidR="00900323" w:rsidRPr="006E2F26">
        <w:rPr>
          <w:rFonts w:asciiTheme="minorHAnsi" w:hAnsiTheme="minorHAnsi" w:cstheme="minorHAnsi"/>
          <w:sz w:val="24"/>
          <w:szCs w:val="24"/>
          <w:lang w:val="fr-FR"/>
        </w:rPr>
        <w:t xml:space="preserve"> Cour constitutionnelle </w:t>
      </w:r>
      <w:r w:rsidRPr="006E2F26">
        <w:rPr>
          <w:rFonts w:asciiTheme="minorHAnsi" w:hAnsiTheme="minorHAnsi" w:cstheme="minorHAnsi"/>
          <w:sz w:val="24"/>
          <w:szCs w:val="24"/>
          <w:lang w:val="fr-FR"/>
        </w:rPr>
        <w:t>au juge judiciaire de</w:t>
      </w:r>
      <w:r w:rsidR="00900323" w:rsidRPr="006E2F26">
        <w:rPr>
          <w:rFonts w:asciiTheme="minorHAnsi" w:hAnsiTheme="minorHAnsi" w:cstheme="minorHAnsi"/>
          <w:sz w:val="24"/>
          <w:szCs w:val="24"/>
          <w:lang w:val="fr-FR"/>
        </w:rPr>
        <w:t xml:space="preserve"> combler une lacune après qu’elle ait elle-même constaté l’inconstitutionnalité d’une loi</w:t>
      </w:r>
      <w:r w:rsidR="00944812" w:rsidRPr="006E2F26">
        <w:rPr>
          <w:rStyle w:val="Appelnotedebasdep"/>
          <w:rFonts w:asciiTheme="minorHAnsi" w:hAnsiTheme="minorHAnsi" w:cstheme="minorHAnsi"/>
          <w:sz w:val="24"/>
          <w:szCs w:val="24"/>
          <w:lang w:val="fr-FR"/>
        </w:rPr>
        <w:footnoteReference w:id="22"/>
      </w:r>
      <w:r w:rsidR="00944812" w:rsidRPr="006E2F26">
        <w:rPr>
          <w:rFonts w:asciiTheme="minorHAnsi" w:hAnsiTheme="minorHAnsi" w:cstheme="minorHAnsi"/>
          <w:sz w:val="24"/>
          <w:szCs w:val="24"/>
          <w:lang w:val="fr-FR"/>
        </w:rPr>
        <w:t xml:space="preserve">. </w:t>
      </w:r>
      <w:r w:rsidR="001C5C5F" w:rsidRPr="006E2F26">
        <w:rPr>
          <w:rFonts w:asciiTheme="minorHAnsi" w:hAnsiTheme="minorHAnsi" w:cstheme="minorHAnsi"/>
          <w:sz w:val="24"/>
          <w:szCs w:val="24"/>
          <w:lang w:val="fr-FR"/>
        </w:rPr>
        <w:t>Il y indiquait toutefois des conditions précises.</w:t>
      </w:r>
    </w:p>
    <w:p w14:paraId="449618B9" w14:textId="77777777" w:rsidR="00730C95" w:rsidRPr="006E2F26" w:rsidRDefault="00730C95" w:rsidP="00126B11">
      <w:pPr>
        <w:pStyle w:val="Textebrut"/>
        <w:tabs>
          <w:tab w:val="left" w:pos="1843"/>
        </w:tabs>
        <w:jc w:val="both"/>
        <w:rPr>
          <w:rFonts w:asciiTheme="minorHAnsi" w:hAnsiTheme="minorHAnsi" w:cstheme="minorHAnsi"/>
          <w:sz w:val="24"/>
          <w:szCs w:val="24"/>
          <w:lang w:val="fr-FR"/>
        </w:rPr>
      </w:pPr>
    </w:p>
    <w:p w14:paraId="4D3F3EFB" w14:textId="3B5A4156" w:rsidR="00B57D7B" w:rsidRPr="006E2F26" w:rsidRDefault="0084650F" w:rsidP="00126B11">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5. </w:t>
      </w:r>
      <w:r w:rsidR="00D4747C" w:rsidRPr="006E2F26">
        <w:rPr>
          <w:rFonts w:asciiTheme="minorHAnsi" w:hAnsiTheme="minorHAnsi" w:cstheme="minorHAnsi"/>
          <w:sz w:val="24"/>
          <w:szCs w:val="24"/>
          <w:lang w:val="fr-FR"/>
        </w:rPr>
        <w:t xml:space="preserve">C’est ce que demande </w:t>
      </w:r>
      <w:r w:rsidR="008C7B4A" w:rsidRPr="006E2F26">
        <w:rPr>
          <w:rFonts w:asciiTheme="minorHAnsi" w:hAnsiTheme="minorHAnsi" w:cstheme="minorHAnsi"/>
          <w:sz w:val="24"/>
          <w:szCs w:val="24"/>
          <w:lang w:val="fr-FR"/>
        </w:rPr>
        <w:t>M.</w:t>
      </w:r>
      <w:r w:rsidR="00D4747C" w:rsidRPr="006E2F26">
        <w:rPr>
          <w:rFonts w:asciiTheme="minorHAnsi" w:hAnsiTheme="minorHAnsi" w:cstheme="minorHAnsi"/>
          <w:sz w:val="24"/>
          <w:szCs w:val="24"/>
          <w:lang w:val="fr-FR"/>
        </w:rPr>
        <w:t xml:space="preserve"> </w:t>
      </w:r>
      <w:r w:rsidR="00961229">
        <w:rPr>
          <w:rFonts w:asciiTheme="minorHAnsi" w:hAnsiTheme="minorHAnsi" w:cstheme="minorHAnsi"/>
          <w:sz w:val="24"/>
          <w:szCs w:val="24"/>
          <w:lang w:val="fr-FR"/>
        </w:rPr>
        <w:t>M</w:t>
      </w:r>
      <w:r w:rsidR="00D4747C" w:rsidRPr="006E2F26">
        <w:rPr>
          <w:rFonts w:asciiTheme="minorHAnsi" w:hAnsiTheme="minorHAnsi" w:cstheme="minorHAnsi"/>
          <w:sz w:val="24"/>
          <w:szCs w:val="24"/>
          <w:lang w:val="fr-FR"/>
        </w:rPr>
        <w:t xml:space="preserve"> dans le présent litige</w:t>
      </w:r>
      <w:r w:rsidR="00F831CD" w:rsidRPr="006E2F26">
        <w:rPr>
          <w:rFonts w:asciiTheme="minorHAnsi" w:hAnsiTheme="minorHAnsi" w:cstheme="minorHAnsi"/>
          <w:sz w:val="24"/>
          <w:szCs w:val="24"/>
          <w:lang w:val="fr-FR"/>
        </w:rPr>
        <w:t>.</w:t>
      </w:r>
    </w:p>
    <w:p w14:paraId="0E6011DB" w14:textId="77777777" w:rsidR="00B57D7B" w:rsidRPr="006E2F26" w:rsidRDefault="00B57D7B" w:rsidP="00126B11">
      <w:pPr>
        <w:pStyle w:val="Textebrut"/>
        <w:tabs>
          <w:tab w:val="left" w:pos="1843"/>
        </w:tabs>
        <w:jc w:val="both"/>
        <w:rPr>
          <w:rFonts w:asciiTheme="minorHAnsi" w:hAnsiTheme="minorHAnsi" w:cstheme="minorHAnsi"/>
          <w:sz w:val="24"/>
          <w:szCs w:val="24"/>
          <w:lang w:val="fr-FR"/>
        </w:rPr>
      </w:pPr>
    </w:p>
    <w:p w14:paraId="1699BCE7" w14:textId="77777777" w:rsidR="0071770F" w:rsidRPr="006E2F26" w:rsidRDefault="00D4747C" w:rsidP="00126B11">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La Cour de Cassation n’a toutefois pas suivi ce raisonnement et </w:t>
      </w:r>
      <w:r w:rsidR="00B57D7B" w:rsidRPr="006E2F26">
        <w:rPr>
          <w:rFonts w:asciiTheme="minorHAnsi" w:hAnsiTheme="minorHAnsi" w:cstheme="minorHAnsi"/>
          <w:sz w:val="24"/>
          <w:szCs w:val="24"/>
          <w:lang w:val="fr-FR"/>
        </w:rPr>
        <w:t xml:space="preserve">le Tribunal estime également, en application de </w:t>
      </w:r>
      <w:r w:rsidR="009F5AA9" w:rsidRPr="006E2F26">
        <w:rPr>
          <w:rFonts w:asciiTheme="minorHAnsi" w:hAnsiTheme="minorHAnsi" w:cstheme="minorHAnsi"/>
          <w:sz w:val="24"/>
          <w:szCs w:val="24"/>
          <w:lang w:val="fr-FR"/>
        </w:rPr>
        <w:t>la</w:t>
      </w:r>
      <w:r w:rsidR="00B57D7B" w:rsidRPr="006E2F26">
        <w:rPr>
          <w:rFonts w:asciiTheme="minorHAnsi" w:hAnsiTheme="minorHAnsi" w:cstheme="minorHAnsi"/>
          <w:sz w:val="24"/>
          <w:szCs w:val="24"/>
          <w:lang w:val="fr-FR"/>
        </w:rPr>
        <w:t xml:space="preserve"> jurisprudence</w:t>
      </w:r>
      <w:r w:rsidR="009F5AA9" w:rsidRPr="006E2F26">
        <w:rPr>
          <w:rFonts w:asciiTheme="minorHAnsi" w:hAnsiTheme="minorHAnsi" w:cstheme="minorHAnsi"/>
          <w:sz w:val="24"/>
          <w:szCs w:val="24"/>
          <w:lang w:val="fr-FR"/>
        </w:rPr>
        <w:t xml:space="preserve"> de cette Haute Cour</w:t>
      </w:r>
      <w:r w:rsidR="00B57D7B" w:rsidRPr="006E2F26">
        <w:rPr>
          <w:rFonts w:asciiTheme="minorHAnsi" w:hAnsiTheme="minorHAnsi" w:cstheme="minorHAnsi"/>
          <w:sz w:val="24"/>
          <w:szCs w:val="24"/>
          <w:lang w:val="fr-FR"/>
        </w:rPr>
        <w:t xml:space="preserve">, qu’il n’y a pas lieu de le suivre dans le présent litige. </w:t>
      </w:r>
      <w:r w:rsidR="0071770F" w:rsidRPr="006E2F26">
        <w:rPr>
          <w:rFonts w:asciiTheme="minorHAnsi" w:hAnsiTheme="minorHAnsi" w:cstheme="minorHAnsi"/>
          <w:sz w:val="24"/>
          <w:szCs w:val="24"/>
          <w:lang w:val="fr-FR"/>
        </w:rPr>
        <w:t>Le rôle et les pouvoirs du juge judiciaire ne sont assurément pas les mêmes que ceux de la Cour constitutionnelle et l</w:t>
      </w:r>
      <w:r w:rsidR="00B57D7B" w:rsidRPr="006E2F26">
        <w:rPr>
          <w:rFonts w:asciiTheme="minorHAnsi" w:hAnsiTheme="minorHAnsi" w:cstheme="minorHAnsi"/>
          <w:sz w:val="24"/>
          <w:szCs w:val="24"/>
          <w:lang w:val="fr-FR"/>
        </w:rPr>
        <w:t xml:space="preserve">e type de contentieux est </w:t>
      </w:r>
      <w:r w:rsidR="0071770F" w:rsidRPr="006E2F26">
        <w:rPr>
          <w:rFonts w:asciiTheme="minorHAnsi" w:hAnsiTheme="minorHAnsi" w:cstheme="minorHAnsi"/>
          <w:sz w:val="24"/>
          <w:szCs w:val="24"/>
          <w:lang w:val="fr-FR"/>
        </w:rPr>
        <w:t>également</w:t>
      </w:r>
      <w:r w:rsidR="00B57D7B" w:rsidRPr="006E2F26">
        <w:rPr>
          <w:rFonts w:asciiTheme="minorHAnsi" w:hAnsiTheme="minorHAnsi" w:cstheme="minorHAnsi"/>
          <w:sz w:val="24"/>
          <w:szCs w:val="24"/>
          <w:lang w:val="fr-FR"/>
        </w:rPr>
        <w:t xml:space="preserve"> différent</w:t>
      </w:r>
      <w:r w:rsidR="0071770F" w:rsidRPr="006E2F26">
        <w:rPr>
          <w:rFonts w:asciiTheme="minorHAnsi" w:hAnsiTheme="minorHAnsi" w:cstheme="minorHAnsi"/>
          <w:sz w:val="24"/>
          <w:szCs w:val="24"/>
          <w:lang w:val="fr-FR"/>
        </w:rPr>
        <w:t>.</w:t>
      </w:r>
    </w:p>
    <w:p w14:paraId="22F0A231" w14:textId="77777777" w:rsidR="0071770F" w:rsidRPr="006E2F26" w:rsidRDefault="0071770F" w:rsidP="00126B11">
      <w:pPr>
        <w:pStyle w:val="Textebrut"/>
        <w:tabs>
          <w:tab w:val="left" w:pos="1843"/>
        </w:tabs>
        <w:jc w:val="both"/>
        <w:rPr>
          <w:rFonts w:asciiTheme="minorHAnsi" w:hAnsiTheme="minorHAnsi" w:cstheme="minorHAnsi"/>
          <w:sz w:val="24"/>
          <w:szCs w:val="24"/>
          <w:lang w:val="fr-FR"/>
        </w:rPr>
      </w:pPr>
    </w:p>
    <w:p w14:paraId="048AF517" w14:textId="77777777" w:rsidR="0071770F" w:rsidRPr="006E2F26" w:rsidRDefault="0071770F" w:rsidP="00126B11">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En outre, même à appliquer par analogie l’autorisation faite par la Cour constitutionnelle de combler une lacune après un constat d’inconstitutionnalité qu’elle a elle-même constaté, comme suggéré par </w:t>
      </w:r>
      <w:r w:rsidR="00666C6E">
        <w:rPr>
          <w:rFonts w:asciiTheme="minorHAnsi" w:hAnsiTheme="minorHAnsi" w:cstheme="minorHAnsi"/>
          <w:sz w:val="24"/>
          <w:szCs w:val="24"/>
          <w:lang w:val="fr-FR"/>
        </w:rPr>
        <w:t xml:space="preserve">Monsieur </w:t>
      </w:r>
      <w:r w:rsidRPr="006E2F26">
        <w:rPr>
          <w:rFonts w:asciiTheme="minorHAnsi" w:hAnsiTheme="minorHAnsi" w:cstheme="minorHAnsi"/>
          <w:sz w:val="24"/>
          <w:szCs w:val="24"/>
          <w:lang w:val="fr-FR"/>
        </w:rPr>
        <w:t>l’</w:t>
      </w:r>
      <w:r w:rsidR="00AC4356" w:rsidRPr="006E2F26">
        <w:rPr>
          <w:rFonts w:asciiTheme="minorHAnsi" w:hAnsiTheme="minorHAnsi" w:cstheme="minorHAnsi"/>
          <w:sz w:val="24"/>
          <w:szCs w:val="24"/>
          <w:lang w:val="fr-FR"/>
        </w:rPr>
        <w:t>Avocat Gé</w:t>
      </w:r>
      <w:r w:rsidRPr="006E2F26">
        <w:rPr>
          <w:rFonts w:asciiTheme="minorHAnsi" w:hAnsiTheme="minorHAnsi" w:cstheme="minorHAnsi"/>
          <w:sz w:val="24"/>
          <w:szCs w:val="24"/>
          <w:lang w:val="fr-FR"/>
        </w:rPr>
        <w:t xml:space="preserve">néral de KOSTER, cela reviendrait à </w:t>
      </w:r>
      <w:r w:rsidRPr="006E2F26">
        <w:rPr>
          <w:rFonts w:asciiTheme="minorHAnsi" w:hAnsiTheme="minorHAnsi" w:cstheme="minorHAnsi"/>
          <w:sz w:val="24"/>
          <w:szCs w:val="24"/>
          <w:lang w:val="fr-FR"/>
        </w:rPr>
        <w:lastRenderedPageBreak/>
        <w:t>empiéter sur le pouvoir exécutif et impliquerait la naissance de droits et obligations pour les intéressés</w:t>
      </w:r>
      <w:r w:rsidR="00666C6E">
        <w:rPr>
          <w:rFonts w:asciiTheme="minorHAnsi" w:hAnsiTheme="minorHAnsi" w:cstheme="minorHAnsi"/>
          <w:sz w:val="24"/>
          <w:szCs w:val="24"/>
          <w:lang w:val="fr-FR"/>
        </w:rPr>
        <w:t xml:space="preserve"> (ce qu’il exclut précisément)</w:t>
      </w:r>
      <w:r w:rsidRPr="006E2F26">
        <w:rPr>
          <w:rFonts w:asciiTheme="minorHAnsi" w:hAnsiTheme="minorHAnsi" w:cstheme="minorHAnsi"/>
          <w:sz w:val="24"/>
          <w:szCs w:val="24"/>
          <w:lang w:val="fr-FR"/>
        </w:rPr>
        <w:t xml:space="preserve">. </w:t>
      </w:r>
    </w:p>
    <w:p w14:paraId="61E92B2D" w14:textId="77777777" w:rsidR="0071770F" w:rsidRPr="006E2F26" w:rsidRDefault="0071770F" w:rsidP="00126B11">
      <w:pPr>
        <w:pStyle w:val="Textebrut"/>
        <w:tabs>
          <w:tab w:val="left" w:pos="1843"/>
        </w:tabs>
        <w:jc w:val="both"/>
        <w:rPr>
          <w:rFonts w:asciiTheme="minorHAnsi" w:hAnsiTheme="minorHAnsi" w:cstheme="minorHAnsi"/>
          <w:sz w:val="24"/>
          <w:szCs w:val="24"/>
          <w:lang w:val="fr-FR"/>
        </w:rPr>
      </w:pPr>
    </w:p>
    <w:p w14:paraId="492A438D" w14:textId="020F3542" w:rsidR="00D817E3" w:rsidRPr="006E2F26" w:rsidRDefault="0071770F" w:rsidP="00126B11">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En effet, </w:t>
      </w:r>
      <w:r w:rsidR="00D817E3" w:rsidRPr="006E2F26">
        <w:rPr>
          <w:rFonts w:asciiTheme="minorHAnsi" w:hAnsiTheme="minorHAnsi" w:cstheme="minorHAnsi"/>
          <w:sz w:val="24"/>
          <w:szCs w:val="24"/>
          <w:lang w:val="fr-FR"/>
        </w:rPr>
        <w:t xml:space="preserve">dans le cas présent, combler la lacune comme demandé par </w:t>
      </w:r>
      <w:r w:rsidR="008C7B4A" w:rsidRPr="006E2F26">
        <w:rPr>
          <w:rFonts w:asciiTheme="minorHAnsi" w:hAnsiTheme="minorHAnsi" w:cstheme="minorHAnsi"/>
          <w:sz w:val="24"/>
          <w:szCs w:val="24"/>
          <w:lang w:val="fr-FR"/>
        </w:rPr>
        <w:t>M.</w:t>
      </w:r>
      <w:r w:rsidR="00322265" w:rsidRPr="006E2F26">
        <w:rPr>
          <w:rFonts w:asciiTheme="minorHAnsi" w:hAnsiTheme="minorHAnsi" w:cstheme="minorHAnsi"/>
          <w:sz w:val="24"/>
          <w:szCs w:val="24"/>
          <w:lang w:val="fr-FR"/>
        </w:rPr>
        <w:t xml:space="preserve"> </w:t>
      </w:r>
      <w:r w:rsidR="00961229">
        <w:rPr>
          <w:rFonts w:asciiTheme="minorHAnsi" w:hAnsiTheme="minorHAnsi" w:cstheme="minorHAnsi"/>
          <w:sz w:val="24"/>
          <w:szCs w:val="24"/>
          <w:lang w:val="fr-FR"/>
        </w:rPr>
        <w:t>M</w:t>
      </w:r>
      <w:r w:rsidR="00D817E3" w:rsidRPr="006E2F26">
        <w:rPr>
          <w:rFonts w:asciiTheme="minorHAnsi" w:hAnsiTheme="minorHAnsi" w:cstheme="minorHAnsi"/>
          <w:sz w:val="24"/>
          <w:szCs w:val="24"/>
          <w:lang w:val="fr-FR"/>
        </w:rPr>
        <w:t xml:space="preserve"> </w:t>
      </w:r>
      <w:r w:rsidR="00AC4356" w:rsidRPr="006E2F26">
        <w:rPr>
          <w:rFonts w:asciiTheme="minorHAnsi" w:hAnsiTheme="minorHAnsi" w:cstheme="minorHAnsi"/>
          <w:sz w:val="24"/>
          <w:szCs w:val="24"/>
          <w:lang w:val="fr-FR"/>
        </w:rPr>
        <w:t>reviendrait à octroyer les droits accordés aux entraîneurs de tennis de table alors qu’ils font partie d’un</w:t>
      </w:r>
      <w:r w:rsidR="000A33FE" w:rsidRPr="006E2F26">
        <w:rPr>
          <w:rFonts w:asciiTheme="minorHAnsi" w:hAnsiTheme="minorHAnsi" w:cstheme="minorHAnsi"/>
          <w:sz w:val="24"/>
          <w:szCs w:val="24"/>
          <w:lang w:val="fr-FR"/>
        </w:rPr>
        <w:t>e catégorie de personnes exclue</w:t>
      </w:r>
      <w:r w:rsidR="00AC4356" w:rsidRPr="006E2F26">
        <w:rPr>
          <w:rFonts w:asciiTheme="minorHAnsi" w:hAnsiTheme="minorHAnsi" w:cstheme="minorHAnsi"/>
          <w:sz w:val="24"/>
          <w:szCs w:val="24"/>
          <w:lang w:val="fr-FR"/>
        </w:rPr>
        <w:t xml:space="preserve"> des droits accordés à d’autres entraîneurs.</w:t>
      </w:r>
    </w:p>
    <w:p w14:paraId="756E48C5" w14:textId="77777777" w:rsidR="002F3C9D" w:rsidRPr="006E2F26" w:rsidRDefault="002F3C9D" w:rsidP="00126B11">
      <w:pPr>
        <w:pStyle w:val="Textebrut"/>
        <w:tabs>
          <w:tab w:val="left" w:pos="1843"/>
        </w:tabs>
        <w:jc w:val="both"/>
        <w:rPr>
          <w:rFonts w:asciiTheme="minorHAnsi" w:hAnsiTheme="minorHAnsi" w:cstheme="minorHAnsi"/>
          <w:sz w:val="24"/>
          <w:szCs w:val="24"/>
          <w:lang w:val="fr-FR"/>
        </w:rPr>
      </w:pPr>
    </w:p>
    <w:p w14:paraId="22EA9186" w14:textId="77777777" w:rsidR="002F3C9D" w:rsidRPr="006E2F26" w:rsidRDefault="002F3C9D"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Il en est d’autant plus ainsi que la loi du 24 février 1978 </w:t>
      </w:r>
      <w:r w:rsidR="004B4C54" w:rsidRPr="006E2F26">
        <w:rPr>
          <w:rFonts w:asciiTheme="minorHAnsi" w:hAnsiTheme="minorHAnsi" w:cstheme="minorHAnsi"/>
          <w:sz w:val="24"/>
          <w:szCs w:val="24"/>
          <w:lang w:val="fr-FR"/>
        </w:rPr>
        <w:t xml:space="preserve">a prévu que </w:t>
      </w:r>
      <w:r w:rsidRPr="006E2F26">
        <w:rPr>
          <w:rFonts w:asciiTheme="minorHAnsi" w:hAnsiTheme="minorHAnsi" w:cstheme="minorHAnsi"/>
          <w:sz w:val="24"/>
          <w:szCs w:val="24"/>
          <w:lang w:val="fr-FR"/>
        </w:rPr>
        <w:t>l’extension à d’autres types de sportifs ne pourra être prévue par le Roi qu’après avis de la Commission paritaire nationale des Sports</w:t>
      </w:r>
      <w:r w:rsidR="004B4C54" w:rsidRPr="006E2F26">
        <w:rPr>
          <w:rFonts w:asciiTheme="minorHAnsi" w:hAnsiTheme="minorHAnsi" w:cstheme="minorHAnsi"/>
          <w:sz w:val="24"/>
          <w:szCs w:val="24"/>
          <w:lang w:val="fr-FR"/>
        </w:rPr>
        <w:t>. Elle précisait en outre que ces extensions pourraient rendre la loi applicable</w:t>
      </w:r>
      <w:r w:rsidRPr="006E2F26">
        <w:rPr>
          <w:rFonts w:asciiTheme="minorHAnsi" w:hAnsiTheme="minorHAnsi" w:cstheme="minorHAnsi"/>
          <w:sz w:val="24"/>
          <w:szCs w:val="24"/>
          <w:lang w:val="fr-FR"/>
        </w:rPr>
        <w:t xml:space="preserve"> en tout ou en partie</w:t>
      </w:r>
      <w:r w:rsidR="004B4C54" w:rsidRPr="006E2F26">
        <w:rPr>
          <w:rFonts w:asciiTheme="minorHAnsi" w:hAnsiTheme="minorHAnsi" w:cstheme="minorHAnsi"/>
          <w:sz w:val="24"/>
          <w:szCs w:val="24"/>
          <w:lang w:val="fr-FR"/>
        </w:rPr>
        <w:t xml:space="preserve"> et</w:t>
      </w:r>
      <w:r w:rsidRPr="006E2F26">
        <w:rPr>
          <w:rFonts w:asciiTheme="minorHAnsi" w:hAnsiTheme="minorHAnsi" w:cstheme="minorHAnsi"/>
          <w:sz w:val="24"/>
          <w:szCs w:val="24"/>
          <w:lang w:val="fr-FR"/>
        </w:rPr>
        <w:t xml:space="preserve"> </w:t>
      </w:r>
      <w:r w:rsidR="004B4C54" w:rsidRPr="006E2F26">
        <w:rPr>
          <w:rFonts w:asciiTheme="minorHAnsi" w:hAnsiTheme="minorHAnsi" w:cstheme="minorHAnsi"/>
          <w:sz w:val="24"/>
          <w:szCs w:val="24"/>
          <w:lang w:val="fr-FR"/>
        </w:rPr>
        <w:t xml:space="preserve">à certaines </w:t>
      </w:r>
      <w:r w:rsidRPr="006E2F26">
        <w:rPr>
          <w:rFonts w:asciiTheme="minorHAnsi" w:hAnsiTheme="minorHAnsi" w:cstheme="minorHAnsi"/>
          <w:sz w:val="24"/>
          <w:szCs w:val="24"/>
          <w:lang w:val="fr-FR"/>
        </w:rPr>
        <w:t xml:space="preserve">conditions </w:t>
      </w:r>
      <w:r w:rsidR="004B4C54" w:rsidRPr="006E2F26">
        <w:rPr>
          <w:rFonts w:asciiTheme="minorHAnsi" w:hAnsiTheme="minorHAnsi" w:cstheme="minorHAnsi"/>
          <w:sz w:val="24"/>
          <w:szCs w:val="24"/>
          <w:lang w:val="fr-FR"/>
        </w:rPr>
        <w:t xml:space="preserve">ou qu’il pourrait également y avoir des cas où l’on </w:t>
      </w:r>
      <w:r w:rsidRPr="006E2F26">
        <w:rPr>
          <w:rFonts w:asciiTheme="minorHAnsi" w:hAnsiTheme="minorHAnsi" w:cstheme="minorHAnsi"/>
          <w:sz w:val="24"/>
          <w:szCs w:val="24"/>
          <w:lang w:val="fr-FR"/>
        </w:rPr>
        <w:t xml:space="preserve"> soustrai</w:t>
      </w:r>
      <w:r w:rsidR="004B4C54" w:rsidRPr="006E2F26">
        <w:rPr>
          <w:rFonts w:asciiTheme="minorHAnsi" w:hAnsiTheme="minorHAnsi" w:cstheme="minorHAnsi"/>
          <w:sz w:val="24"/>
          <w:szCs w:val="24"/>
          <w:lang w:val="fr-FR"/>
        </w:rPr>
        <w:t>t</w:t>
      </w:r>
      <w:r w:rsidRPr="006E2F26">
        <w:rPr>
          <w:rFonts w:asciiTheme="minorHAnsi" w:hAnsiTheme="minorHAnsi" w:cstheme="minorHAnsi"/>
          <w:sz w:val="24"/>
          <w:szCs w:val="24"/>
          <w:lang w:val="fr-FR"/>
        </w:rPr>
        <w:t xml:space="preserve"> </w:t>
      </w:r>
      <w:r w:rsidR="004B4C54" w:rsidRPr="006E2F26">
        <w:rPr>
          <w:rFonts w:asciiTheme="minorHAnsi" w:hAnsiTheme="minorHAnsi" w:cstheme="minorHAnsi"/>
          <w:sz w:val="24"/>
          <w:szCs w:val="24"/>
          <w:lang w:val="fr-FR"/>
        </w:rPr>
        <w:t xml:space="preserve">certaines personnes </w:t>
      </w:r>
      <w:r w:rsidRPr="006E2F26">
        <w:rPr>
          <w:rFonts w:asciiTheme="minorHAnsi" w:hAnsiTheme="minorHAnsi" w:cstheme="minorHAnsi"/>
          <w:sz w:val="24"/>
          <w:szCs w:val="24"/>
          <w:lang w:val="fr-FR"/>
        </w:rPr>
        <w:t xml:space="preserve">à </w:t>
      </w:r>
      <w:r w:rsidR="004B4C54" w:rsidRPr="006E2F26">
        <w:rPr>
          <w:rFonts w:asciiTheme="minorHAnsi" w:hAnsiTheme="minorHAnsi" w:cstheme="minorHAnsi"/>
          <w:sz w:val="24"/>
          <w:szCs w:val="24"/>
          <w:lang w:val="fr-FR"/>
        </w:rPr>
        <w:t>son</w:t>
      </w:r>
      <w:r w:rsidRPr="006E2F26">
        <w:rPr>
          <w:rFonts w:asciiTheme="minorHAnsi" w:hAnsiTheme="minorHAnsi" w:cstheme="minorHAnsi"/>
          <w:sz w:val="24"/>
          <w:szCs w:val="24"/>
          <w:lang w:val="fr-FR"/>
        </w:rPr>
        <w:t xml:space="preserve"> application</w:t>
      </w:r>
      <w:r w:rsidR="004B4C54" w:rsidRPr="006E2F26">
        <w:rPr>
          <w:rFonts w:asciiTheme="minorHAnsi" w:hAnsiTheme="minorHAnsi" w:cstheme="minorHAnsi"/>
          <w:sz w:val="24"/>
          <w:szCs w:val="24"/>
          <w:lang w:val="fr-FR"/>
        </w:rPr>
        <w:t>.</w:t>
      </w:r>
    </w:p>
    <w:p w14:paraId="1BDD8126" w14:textId="77777777" w:rsidR="000A37D7" w:rsidRPr="006E2F26" w:rsidRDefault="000A37D7" w:rsidP="00340823">
      <w:pPr>
        <w:pStyle w:val="Textebrut"/>
        <w:tabs>
          <w:tab w:val="left" w:pos="1843"/>
        </w:tabs>
        <w:jc w:val="both"/>
        <w:rPr>
          <w:rFonts w:asciiTheme="minorHAnsi" w:hAnsiTheme="minorHAnsi" w:cstheme="minorHAnsi"/>
          <w:sz w:val="24"/>
          <w:szCs w:val="24"/>
          <w:lang w:val="fr-FR"/>
        </w:rPr>
      </w:pPr>
    </w:p>
    <w:p w14:paraId="1BB03C83" w14:textId="31BFF571" w:rsidR="0084650F" w:rsidRPr="006E2F26" w:rsidRDefault="00B35415"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6. </w:t>
      </w:r>
      <w:r w:rsidR="008C7B4A" w:rsidRPr="006E2F26">
        <w:rPr>
          <w:rFonts w:asciiTheme="minorHAnsi" w:hAnsiTheme="minorHAnsi" w:cstheme="minorHAnsi"/>
          <w:sz w:val="24"/>
          <w:szCs w:val="24"/>
          <w:lang w:val="fr-FR"/>
        </w:rPr>
        <w:t>M.</w:t>
      </w:r>
      <w:r w:rsidR="00CB3CC3" w:rsidRPr="006E2F26">
        <w:rPr>
          <w:rFonts w:asciiTheme="minorHAnsi" w:hAnsiTheme="minorHAnsi" w:cstheme="minorHAnsi"/>
          <w:sz w:val="24"/>
          <w:szCs w:val="24"/>
          <w:lang w:val="fr-FR"/>
        </w:rPr>
        <w:t xml:space="preserve"> </w:t>
      </w:r>
      <w:r w:rsidR="00961229">
        <w:rPr>
          <w:rFonts w:asciiTheme="minorHAnsi" w:hAnsiTheme="minorHAnsi" w:cstheme="minorHAnsi"/>
          <w:sz w:val="24"/>
          <w:szCs w:val="24"/>
          <w:lang w:val="fr-FR"/>
        </w:rPr>
        <w:t>M</w:t>
      </w:r>
      <w:r w:rsidR="00CB3CC3" w:rsidRPr="006E2F26">
        <w:rPr>
          <w:rFonts w:asciiTheme="minorHAnsi" w:hAnsiTheme="minorHAnsi" w:cstheme="minorHAnsi"/>
          <w:sz w:val="24"/>
          <w:szCs w:val="24"/>
          <w:lang w:val="fr-FR"/>
        </w:rPr>
        <w:t xml:space="preserve"> réclamait l’application de l’arrêté royal du 13 novembre 2012 et donc la loi du 24 février 1978</w:t>
      </w:r>
      <w:r w:rsidR="00741046" w:rsidRPr="006E2F26">
        <w:rPr>
          <w:rFonts w:asciiTheme="minorHAnsi" w:hAnsiTheme="minorHAnsi" w:cstheme="minorHAnsi"/>
          <w:sz w:val="24"/>
          <w:szCs w:val="24"/>
          <w:lang w:val="fr-FR"/>
        </w:rPr>
        <w:t xml:space="preserve"> pour ce qui concerne la présomption de contrat de travail d’employé et le fait que la rupture du contrat n’est permise que par l’octroi d’une indemnité dont les modalités de calcul sont fixées.</w:t>
      </w:r>
    </w:p>
    <w:p w14:paraId="530E3FC9" w14:textId="77777777" w:rsidR="00B35415" w:rsidRPr="006E2F26" w:rsidRDefault="00B35415" w:rsidP="00340823">
      <w:pPr>
        <w:pStyle w:val="Textebrut"/>
        <w:tabs>
          <w:tab w:val="left" w:pos="1843"/>
        </w:tabs>
        <w:jc w:val="both"/>
        <w:rPr>
          <w:rFonts w:asciiTheme="minorHAnsi" w:hAnsiTheme="minorHAnsi" w:cstheme="minorHAnsi"/>
          <w:sz w:val="24"/>
          <w:szCs w:val="24"/>
          <w:lang w:val="fr-FR"/>
        </w:rPr>
      </w:pPr>
    </w:p>
    <w:p w14:paraId="64B1E5D2" w14:textId="77777777" w:rsidR="00B35415" w:rsidRPr="006E2F26" w:rsidRDefault="00741046"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Le Tribunal rappelle, comme déjà exposé, que quoi qu’il en soit, les règles particulières relatives à la rupture du contrat qui concerne</w:t>
      </w:r>
      <w:r w:rsidR="00573928">
        <w:rPr>
          <w:rFonts w:asciiTheme="minorHAnsi" w:hAnsiTheme="minorHAnsi" w:cstheme="minorHAnsi"/>
          <w:sz w:val="24"/>
          <w:szCs w:val="24"/>
          <w:lang w:val="fr-FR"/>
        </w:rPr>
        <w:t>nt</w:t>
      </w:r>
      <w:r w:rsidRPr="006E2F26">
        <w:rPr>
          <w:rFonts w:asciiTheme="minorHAnsi" w:hAnsiTheme="minorHAnsi" w:cstheme="minorHAnsi"/>
          <w:sz w:val="24"/>
          <w:szCs w:val="24"/>
          <w:lang w:val="fr-FR"/>
        </w:rPr>
        <w:t xml:space="preserve"> l’obligation de rompre le contrat moyennant le paiement d’une indemnité de rupture et les modalités de calcul de celle-ci ne sont pas applicables aux entraîneurs de football, de basketball, de volleyball et du cyclisme</w:t>
      </w:r>
      <w:r w:rsidR="00024A83" w:rsidRPr="006E2F26">
        <w:rPr>
          <w:rStyle w:val="Appelnotedebasdep"/>
          <w:rFonts w:asciiTheme="minorHAnsi" w:hAnsiTheme="minorHAnsi" w:cstheme="minorHAnsi"/>
          <w:sz w:val="24"/>
          <w:szCs w:val="24"/>
          <w:lang w:val="fr-FR"/>
        </w:rPr>
        <w:footnoteReference w:id="23"/>
      </w:r>
      <w:r w:rsidRPr="006E2F26">
        <w:rPr>
          <w:rFonts w:asciiTheme="minorHAnsi" w:hAnsiTheme="minorHAnsi" w:cstheme="minorHAnsi"/>
          <w:sz w:val="24"/>
          <w:szCs w:val="24"/>
          <w:lang w:val="fr-FR"/>
        </w:rPr>
        <w:t>.</w:t>
      </w:r>
    </w:p>
    <w:p w14:paraId="17CAA765" w14:textId="77777777" w:rsidR="00036395" w:rsidRPr="006E2F26" w:rsidRDefault="00036395" w:rsidP="00340823">
      <w:pPr>
        <w:pStyle w:val="Textebrut"/>
        <w:tabs>
          <w:tab w:val="left" w:pos="1843"/>
        </w:tabs>
        <w:jc w:val="both"/>
        <w:rPr>
          <w:rFonts w:asciiTheme="minorHAnsi" w:hAnsiTheme="minorHAnsi" w:cstheme="minorHAnsi"/>
          <w:sz w:val="24"/>
          <w:szCs w:val="24"/>
          <w:lang w:val="fr-FR"/>
        </w:rPr>
      </w:pPr>
    </w:p>
    <w:p w14:paraId="54849C11" w14:textId="6682ED88" w:rsidR="00036395" w:rsidRPr="006E2F26" w:rsidRDefault="00036395"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Pour le reste, comme décidé ci-dessus, le Tribunal décide d’écarter l’article 1</w:t>
      </w:r>
      <w:r w:rsidRPr="006E2F26">
        <w:rPr>
          <w:rFonts w:asciiTheme="minorHAnsi" w:hAnsiTheme="minorHAnsi" w:cstheme="minorHAnsi"/>
          <w:sz w:val="24"/>
          <w:szCs w:val="24"/>
          <w:vertAlign w:val="superscript"/>
          <w:lang w:val="fr-FR"/>
        </w:rPr>
        <w:t>er</w:t>
      </w:r>
      <w:r w:rsidRPr="006E2F26">
        <w:rPr>
          <w:rFonts w:asciiTheme="minorHAnsi" w:hAnsiTheme="minorHAnsi" w:cstheme="minorHAnsi"/>
          <w:sz w:val="24"/>
          <w:szCs w:val="24"/>
          <w:lang w:val="fr-FR"/>
        </w:rPr>
        <w:t xml:space="preserve"> de l’arrêté royal du 13 novembre 2012 en ce qu’il exclut l’extension du champ d’application de la loi du 24 février 1978 aux entraîneurs de tennis de table dont fait partie </w:t>
      </w:r>
      <w:r w:rsidR="008C7B4A" w:rsidRPr="006E2F26">
        <w:rPr>
          <w:rFonts w:asciiTheme="minorHAnsi" w:hAnsiTheme="minorHAnsi" w:cstheme="minorHAnsi"/>
          <w:sz w:val="24"/>
          <w:szCs w:val="24"/>
          <w:lang w:val="fr-FR"/>
        </w:rPr>
        <w:t>M.</w:t>
      </w:r>
      <w:r w:rsidR="003E0E27" w:rsidRPr="006E2F26">
        <w:rPr>
          <w:rFonts w:asciiTheme="minorHAnsi" w:hAnsiTheme="minorHAnsi" w:cstheme="minorHAnsi"/>
          <w:sz w:val="24"/>
          <w:szCs w:val="24"/>
          <w:lang w:val="fr-FR"/>
        </w:rPr>
        <w:t xml:space="preserve"> </w:t>
      </w:r>
      <w:r w:rsidR="00961229">
        <w:rPr>
          <w:rFonts w:asciiTheme="minorHAnsi" w:hAnsiTheme="minorHAnsi" w:cstheme="minorHAnsi"/>
          <w:sz w:val="24"/>
          <w:szCs w:val="24"/>
          <w:lang w:val="fr-FR"/>
        </w:rPr>
        <w:t>M</w:t>
      </w:r>
      <w:r w:rsidR="003E0E27" w:rsidRPr="006E2F26">
        <w:rPr>
          <w:rFonts w:asciiTheme="minorHAnsi" w:hAnsiTheme="minorHAnsi" w:cstheme="minorHAnsi"/>
          <w:sz w:val="24"/>
          <w:szCs w:val="24"/>
          <w:lang w:val="fr-FR"/>
        </w:rPr>
        <w:t>. Mais il</w:t>
      </w:r>
      <w:r w:rsidRPr="006E2F26">
        <w:rPr>
          <w:rFonts w:asciiTheme="minorHAnsi" w:hAnsiTheme="minorHAnsi" w:cstheme="minorHAnsi"/>
          <w:sz w:val="24"/>
          <w:szCs w:val="24"/>
          <w:lang w:val="fr-FR"/>
        </w:rPr>
        <w:t xml:space="preserve"> ne peut combler la lacune. Il n’en résulte donc aucun effet concret pour </w:t>
      </w:r>
      <w:r w:rsidR="008C7B4A" w:rsidRPr="006E2F26">
        <w:rPr>
          <w:rFonts w:asciiTheme="minorHAnsi" w:hAnsiTheme="minorHAnsi" w:cstheme="minorHAnsi"/>
          <w:sz w:val="24"/>
          <w:szCs w:val="24"/>
          <w:lang w:val="fr-FR"/>
        </w:rPr>
        <w:t>M.</w:t>
      </w:r>
      <w:r w:rsidRPr="006E2F26">
        <w:rPr>
          <w:rFonts w:asciiTheme="minorHAnsi" w:hAnsiTheme="minorHAnsi" w:cstheme="minorHAnsi"/>
          <w:sz w:val="24"/>
          <w:szCs w:val="24"/>
          <w:lang w:val="fr-FR"/>
        </w:rPr>
        <w:t xml:space="preserve"> </w:t>
      </w:r>
      <w:r w:rsidR="00961229">
        <w:rPr>
          <w:rFonts w:asciiTheme="minorHAnsi" w:hAnsiTheme="minorHAnsi" w:cstheme="minorHAnsi"/>
          <w:sz w:val="24"/>
          <w:szCs w:val="24"/>
          <w:lang w:val="fr-FR"/>
        </w:rPr>
        <w:t>M</w:t>
      </w:r>
      <w:r w:rsidRPr="006E2F26">
        <w:rPr>
          <w:rFonts w:asciiTheme="minorHAnsi" w:hAnsiTheme="minorHAnsi" w:cstheme="minorHAnsi"/>
          <w:sz w:val="24"/>
          <w:szCs w:val="24"/>
          <w:lang w:val="fr-FR"/>
        </w:rPr>
        <w:t xml:space="preserve"> qui ne peut se voir appliquer la loi du 24 février 1978 (ou une partie de celle-ci).</w:t>
      </w:r>
    </w:p>
    <w:p w14:paraId="7E6411DD" w14:textId="77777777" w:rsidR="00036395" w:rsidRPr="006E2F26" w:rsidRDefault="00036395" w:rsidP="00340823">
      <w:pPr>
        <w:pStyle w:val="Textebrut"/>
        <w:tabs>
          <w:tab w:val="left" w:pos="1843"/>
        </w:tabs>
        <w:jc w:val="both"/>
        <w:rPr>
          <w:rFonts w:asciiTheme="minorHAnsi" w:hAnsiTheme="minorHAnsi" w:cstheme="minorHAnsi"/>
          <w:sz w:val="24"/>
          <w:szCs w:val="24"/>
          <w:lang w:val="fr-FR"/>
        </w:rPr>
      </w:pPr>
    </w:p>
    <w:p w14:paraId="600E3562" w14:textId="77777777" w:rsidR="00036395" w:rsidRPr="006E2F26" w:rsidRDefault="00036395"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Aucune indemnité complémentaire de préavis ne peut dès lor</w:t>
      </w:r>
      <w:r w:rsidR="00165A76">
        <w:rPr>
          <w:rFonts w:asciiTheme="minorHAnsi" w:hAnsiTheme="minorHAnsi" w:cstheme="minorHAnsi"/>
          <w:sz w:val="24"/>
          <w:szCs w:val="24"/>
          <w:lang w:val="fr-FR"/>
        </w:rPr>
        <w:t>s être octroyée sur cette base.</w:t>
      </w:r>
    </w:p>
    <w:p w14:paraId="1C22D23C" w14:textId="77777777" w:rsidR="000A37D7" w:rsidRPr="006E2F26" w:rsidRDefault="000A37D7" w:rsidP="00340823">
      <w:pPr>
        <w:pStyle w:val="Textebrut"/>
        <w:tabs>
          <w:tab w:val="left" w:pos="1843"/>
        </w:tabs>
        <w:jc w:val="both"/>
        <w:rPr>
          <w:rFonts w:asciiTheme="minorHAnsi" w:hAnsiTheme="minorHAnsi" w:cstheme="minorHAnsi"/>
          <w:sz w:val="24"/>
          <w:szCs w:val="24"/>
          <w:lang w:val="fr-FR"/>
        </w:rPr>
      </w:pPr>
    </w:p>
    <w:p w14:paraId="7EE81545" w14:textId="77777777" w:rsidR="00DB749D" w:rsidRPr="006E2F26" w:rsidRDefault="00DB749D" w:rsidP="00340823">
      <w:pPr>
        <w:pStyle w:val="Textebrut"/>
        <w:numPr>
          <w:ilvl w:val="2"/>
          <w:numId w:val="8"/>
        </w:numPr>
        <w:tabs>
          <w:tab w:val="left" w:pos="1843"/>
        </w:tabs>
        <w:jc w:val="both"/>
        <w:rPr>
          <w:rFonts w:asciiTheme="minorHAnsi" w:hAnsiTheme="minorHAnsi" w:cstheme="minorHAnsi"/>
          <w:sz w:val="24"/>
          <w:szCs w:val="24"/>
          <w:u w:val="single"/>
          <w:lang w:val="fr-FR"/>
        </w:rPr>
      </w:pPr>
      <w:r w:rsidRPr="006E2F26">
        <w:rPr>
          <w:rFonts w:asciiTheme="minorHAnsi" w:hAnsiTheme="minorHAnsi" w:cstheme="minorHAnsi"/>
          <w:sz w:val="24"/>
          <w:szCs w:val="24"/>
          <w:u w:val="single"/>
          <w:lang w:val="fr-FR"/>
        </w:rPr>
        <w:t>Indemnité complémentaire de préavis</w:t>
      </w:r>
    </w:p>
    <w:p w14:paraId="2884F13A" w14:textId="77777777" w:rsidR="000B7F72" w:rsidRPr="006E2F26" w:rsidRDefault="000B7F72" w:rsidP="00340823">
      <w:pPr>
        <w:pStyle w:val="Textebrut"/>
        <w:tabs>
          <w:tab w:val="left" w:pos="1843"/>
        </w:tabs>
        <w:jc w:val="both"/>
        <w:rPr>
          <w:rFonts w:asciiTheme="minorHAnsi" w:hAnsiTheme="minorHAnsi" w:cstheme="minorHAnsi"/>
          <w:sz w:val="24"/>
          <w:szCs w:val="24"/>
          <w:lang w:val="fr-FR"/>
        </w:rPr>
      </w:pPr>
    </w:p>
    <w:p w14:paraId="0F270CF9" w14:textId="61503CC9" w:rsidR="00721395" w:rsidRPr="006E2F26" w:rsidRDefault="004745F3"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A titre subsidiaire, </w:t>
      </w:r>
      <w:r w:rsidR="008C7B4A" w:rsidRPr="006E2F26">
        <w:rPr>
          <w:rFonts w:asciiTheme="minorHAnsi" w:hAnsiTheme="minorHAnsi" w:cstheme="minorHAnsi"/>
          <w:sz w:val="24"/>
          <w:szCs w:val="24"/>
          <w:lang w:val="fr-FR"/>
        </w:rPr>
        <w:t>M.</w:t>
      </w:r>
      <w:r w:rsidRPr="006E2F26">
        <w:rPr>
          <w:rFonts w:asciiTheme="minorHAnsi" w:hAnsiTheme="minorHAnsi" w:cstheme="minorHAnsi"/>
          <w:sz w:val="24"/>
          <w:szCs w:val="24"/>
          <w:lang w:val="fr-FR"/>
        </w:rPr>
        <w:t xml:space="preserve"> </w:t>
      </w:r>
      <w:r w:rsidR="00961229">
        <w:rPr>
          <w:rFonts w:asciiTheme="minorHAnsi" w:hAnsiTheme="minorHAnsi" w:cstheme="minorHAnsi"/>
          <w:sz w:val="24"/>
          <w:szCs w:val="24"/>
          <w:lang w:val="fr-FR"/>
        </w:rPr>
        <w:t>M</w:t>
      </w:r>
      <w:r w:rsidRPr="006E2F26">
        <w:rPr>
          <w:rFonts w:asciiTheme="minorHAnsi" w:hAnsiTheme="minorHAnsi" w:cstheme="minorHAnsi"/>
          <w:sz w:val="24"/>
          <w:szCs w:val="24"/>
          <w:lang w:val="fr-FR"/>
        </w:rPr>
        <w:t xml:space="preserve"> réclame une indemnité de rupture </w:t>
      </w:r>
      <w:r w:rsidR="00BA7399" w:rsidRPr="006E2F26">
        <w:rPr>
          <w:rFonts w:asciiTheme="minorHAnsi" w:hAnsiTheme="minorHAnsi" w:cstheme="minorHAnsi"/>
          <w:sz w:val="24"/>
          <w:szCs w:val="24"/>
          <w:lang w:val="fr-FR"/>
        </w:rPr>
        <w:t xml:space="preserve">de préavis </w:t>
      </w:r>
      <w:r w:rsidR="00914FE4" w:rsidRPr="006E2F26">
        <w:rPr>
          <w:rFonts w:asciiTheme="minorHAnsi" w:hAnsiTheme="minorHAnsi" w:cstheme="minorHAnsi"/>
          <w:sz w:val="24"/>
          <w:szCs w:val="24"/>
          <w:lang w:val="fr-FR"/>
        </w:rPr>
        <w:t xml:space="preserve">complémentaire </w:t>
      </w:r>
      <w:r w:rsidR="00BA7399" w:rsidRPr="006E2F26">
        <w:rPr>
          <w:rFonts w:asciiTheme="minorHAnsi" w:hAnsiTheme="minorHAnsi" w:cstheme="minorHAnsi"/>
          <w:sz w:val="24"/>
          <w:szCs w:val="24"/>
          <w:lang w:val="fr-FR"/>
        </w:rPr>
        <w:t>en ce que, selon lui, son ancienneté doit être calculée depuis le 1</w:t>
      </w:r>
      <w:r w:rsidR="00BA7399" w:rsidRPr="006E2F26">
        <w:rPr>
          <w:rFonts w:asciiTheme="minorHAnsi" w:hAnsiTheme="minorHAnsi" w:cstheme="minorHAnsi"/>
          <w:sz w:val="24"/>
          <w:szCs w:val="24"/>
          <w:vertAlign w:val="superscript"/>
          <w:lang w:val="fr-FR"/>
        </w:rPr>
        <w:t>er</w:t>
      </w:r>
      <w:r w:rsidR="00BA7399" w:rsidRPr="006E2F26">
        <w:rPr>
          <w:rFonts w:asciiTheme="minorHAnsi" w:hAnsiTheme="minorHAnsi" w:cstheme="minorHAnsi"/>
          <w:sz w:val="24"/>
          <w:szCs w:val="24"/>
          <w:lang w:val="fr-FR"/>
        </w:rPr>
        <w:t xml:space="preserve"> septembre 2011, date du début de ses prestations auprès de </w:t>
      </w:r>
      <w:r w:rsidR="00322265" w:rsidRPr="006E2F26">
        <w:rPr>
          <w:rFonts w:asciiTheme="minorHAnsi" w:hAnsiTheme="minorHAnsi" w:cstheme="minorHAnsi"/>
          <w:sz w:val="24"/>
          <w:szCs w:val="24"/>
          <w:lang w:val="fr-FR"/>
        </w:rPr>
        <w:t>L’A.S.B.L.</w:t>
      </w:r>
      <w:r w:rsidR="00BA7399" w:rsidRPr="006E2F26">
        <w:rPr>
          <w:rFonts w:asciiTheme="minorHAnsi" w:hAnsiTheme="minorHAnsi" w:cstheme="minorHAnsi"/>
          <w:sz w:val="24"/>
          <w:szCs w:val="24"/>
          <w:lang w:val="fr-FR"/>
        </w:rPr>
        <w:t xml:space="preserve"> </w:t>
      </w:r>
    </w:p>
    <w:p w14:paraId="68296A32" w14:textId="77777777" w:rsidR="00721395" w:rsidRPr="006E2F26" w:rsidRDefault="00721395" w:rsidP="00340823">
      <w:pPr>
        <w:pStyle w:val="Textebrut"/>
        <w:tabs>
          <w:tab w:val="left" w:pos="1843"/>
        </w:tabs>
        <w:jc w:val="both"/>
        <w:rPr>
          <w:rFonts w:asciiTheme="minorHAnsi" w:hAnsiTheme="minorHAnsi" w:cstheme="minorHAnsi"/>
          <w:sz w:val="24"/>
          <w:szCs w:val="24"/>
          <w:lang w:val="fr-FR"/>
        </w:rPr>
      </w:pPr>
    </w:p>
    <w:p w14:paraId="17DBF3C8" w14:textId="77777777" w:rsidR="000B7F72" w:rsidRPr="006E2F26" w:rsidRDefault="00BA7399"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Il estime ainsi que la convention de prestation de services conclue entre les parties pour la période comprise entre le 1</w:t>
      </w:r>
      <w:r w:rsidRPr="006E2F26">
        <w:rPr>
          <w:rFonts w:asciiTheme="minorHAnsi" w:hAnsiTheme="minorHAnsi" w:cstheme="minorHAnsi"/>
          <w:sz w:val="24"/>
          <w:szCs w:val="24"/>
          <w:vertAlign w:val="superscript"/>
          <w:lang w:val="fr-FR"/>
        </w:rPr>
        <w:t>er</w:t>
      </w:r>
      <w:r w:rsidRPr="006E2F26">
        <w:rPr>
          <w:rFonts w:asciiTheme="minorHAnsi" w:hAnsiTheme="minorHAnsi" w:cstheme="minorHAnsi"/>
          <w:sz w:val="24"/>
          <w:szCs w:val="24"/>
          <w:lang w:val="fr-FR"/>
        </w:rPr>
        <w:t xml:space="preserve"> septembre 2011 et le 31 décembre 2015 doit être requalifiée en contrat de travail.</w:t>
      </w:r>
      <w:r w:rsidR="00914FE4">
        <w:rPr>
          <w:rFonts w:asciiTheme="minorHAnsi" w:hAnsiTheme="minorHAnsi" w:cstheme="minorHAnsi"/>
          <w:sz w:val="24"/>
          <w:szCs w:val="24"/>
          <w:lang w:val="fr-FR"/>
        </w:rPr>
        <w:t xml:space="preserve"> </w:t>
      </w:r>
    </w:p>
    <w:p w14:paraId="6C23FD8B" w14:textId="77777777" w:rsidR="00721395" w:rsidRPr="006E2F26" w:rsidRDefault="00721395" w:rsidP="00340823">
      <w:pPr>
        <w:pStyle w:val="Textebrut"/>
        <w:tabs>
          <w:tab w:val="left" w:pos="1843"/>
        </w:tabs>
        <w:jc w:val="both"/>
        <w:rPr>
          <w:rFonts w:asciiTheme="minorHAnsi" w:hAnsiTheme="minorHAnsi" w:cstheme="minorHAnsi"/>
          <w:sz w:val="24"/>
          <w:szCs w:val="24"/>
          <w:lang w:val="fr-FR"/>
        </w:rPr>
      </w:pPr>
    </w:p>
    <w:p w14:paraId="3BC2BF0C" w14:textId="77777777" w:rsidR="00721395" w:rsidRPr="006E2F26" w:rsidRDefault="00721395" w:rsidP="00340823">
      <w:pPr>
        <w:pStyle w:val="Textebrut"/>
        <w:tabs>
          <w:tab w:val="left" w:pos="1843"/>
        </w:tabs>
        <w:jc w:val="both"/>
        <w:rPr>
          <w:rFonts w:asciiTheme="minorHAnsi" w:hAnsiTheme="minorHAnsi" w:cstheme="minorHAnsi"/>
          <w:b/>
          <w:sz w:val="24"/>
          <w:szCs w:val="24"/>
          <w:lang w:val="fr-FR"/>
        </w:rPr>
      </w:pPr>
      <w:r w:rsidRPr="006E2F26">
        <w:rPr>
          <w:rFonts w:asciiTheme="minorHAnsi" w:hAnsiTheme="minorHAnsi" w:cstheme="minorHAnsi"/>
          <w:b/>
          <w:sz w:val="24"/>
          <w:szCs w:val="24"/>
          <w:lang w:val="fr-FR"/>
        </w:rPr>
        <w:t>La convention de prestations de services doit-elle être requalifiée en contrat de travail ?</w:t>
      </w:r>
    </w:p>
    <w:p w14:paraId="39280B72" w14:textId="77777777" w:rsidR="00102F45" w:rsidRPr="006E2F26" w:rsidRDefault="00102F45" w:rsidP="00340823">
      <w:pPr>
        <w:pStyle w:val="Textebrut"/>
        <w:tabs>
          <w:tab w:val="left" w:pos="1843"/>
        </w:tabs>
        <w:jc w:val="both"/>
        <w:rPr>
          <w:rFonts w:asciiTheme="minorHAnsi" w:hAnsiTheme="minorHAnsi" w:cstheme="minorHAnsi"/>
          <w:sz w:val="24"/>
          <w:szCs w:val="24"/>
          <w:lang w:val="fr-FR"/>
        </w:rPr>
      </w:pPr>
    </w:p>
    <w:p w14:paraId="504BF752" w14:textId="77777777" w:rsidR="00102F45" w:rsidRPr="006E2F26" w:rsidRDefault="003B6012" w:rsidP="003408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r w:rsidRPr="006E2F26">
        <w:rPr>
          <w:rFonts w:asciiTheme="minorHAnsi" w:hAnsiTheme="minorHAnsi" w:cstheme="minorHAnsi"/>
        </w:rPr>
        <w:t xml:space="preserve">1. </w:t>
      </w:r>
      <w:r w:rsidR="00102F45" w:rsidRPr="006E2F26">
        <w:rPr>
          <w:rFonts w:asciiTheme="minorHAnsi" w:hAnsiTheme="minorHAnsi" w:cstheme="minorHAnsi"/>
        </w:rPr>
        <w:t>Le contrat de travail est défini comme le contrat par lequel un travailleur s’engage contre rémunération à fournir un travail sous l’autorité d’un employeur (article 2 et 3 de la loi du 03.07.1978 relative aux contrats de travail).</w:t>
      </w:r>
    </w:p>
    <w:p w14:paraId="0D5BD5A4" w14:textId="77777777" w:rsidR="00102F45" w:rsidRPr="006E2F26" w:rsidRDefault="00102F45" w:rsidP="003408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p>
    <w:p w14:paraId="171FA7AF" w14:textId="77777777" w:rsidR="00102F45" w:rsidRPr="006E2F26" w:rsidRDefault="00102F45" w:rsidP="003408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r w:rsidRPr="006E2F26">
        <w:rPr>
          <w:rFonts w:asciiTheme="minorHAnsi" w:hAnsiTheme="minorHAnsi" w:cstheme="minorHAnsi"/>
        </w:rPr>
        <w:t>Les trois éléments constitutifs du contrat sont donc :</w:t>
      </w:r>
    </w:p>
    <w:p w14:paraId="34709368" w14:textId="77777777" w:rsidR="00102F45" w:rsidRPr="006E2F26" w:rsidRDefault="00102F45" w:rsidP="00340823">
      <w:pPr>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N/>
        <w:jc w:val="both"/>
        <w:textAlignment w:val="auto"/>
        <w:rPr>
          <w:rFonts w:asciiTheme="minorHAnsi" w:hAnsiTheme="minorHAnsi" w:cstheme="minorHAnsi"/>
        </w:rPr>
      </w:pPr>
      <w:r w:rsidRPr="006E2F26">
        <w:rPr>
          <w:rFonts w:asciiTheme="minorHAnsi" w:hAnsiTheme="minorHAnsi" w:cstheme="minorHAnsi"/>
        </w:rPr>
        <w:t>L’exercice d’un travail ;</w:t>
      </w:r>
    </w:p>
    <w:p w14:paraId="5DD3C469" w14:textId="77777777" w:rsidR="00102F45" w:rsidRPr="006E2F26" w:rsidRDefault="00102F45" w:rsidP="00340823">
      <w:pPr>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N/>
        <w:jc w:val="both"/>
        <w:textAlignment w:val="auto"/>
        <w:rPr>
          <w:rFonts w:asciiTheme="minorHAnsi" w:hAnsiTheme="minorHAnsi" w:cstheme="minorHAnsi"/>
        </w:rPr>
      </w:pPr>
      <w:r w:rsidRPr="006E2F26">
        <w:rPr>
          <w:rFonts w:asciiTheme="minorHAnsi" w:hAnsiTheme="minorHAnsi" w:cstheme="minorHAnsi"/>
        </w:rPr>
        <w:t>L’octroi d’une rémunération ;</w:t>
      </w:r>
    </w:p>
    <w:p w14:paraId="2022E2DD" w14:textId="77777777" w:rsidR="00102F45" w:rsidRPr="006E2F26" w:rsidRDefault="00102F45" w:rsidP="00340823">
      <w:pPr>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N/>
        <w:jc w:val="both"/>
        <w:textAlignment w:val="auto"/>
        <w:rPr>
          <w:rFonts w:asciiTheme="minorHAnsi" w:hAnsiTheme="minorHAnsi" w:cstheme="minorHAnsi"/>
        </w:rPr>
      </w:pPr>
      <w:r w:rsidRPr="006E2F26">
        <w:rPr>
          <w:rFonts w:asciiTheme="minorHAnsi" w:hAnsiTheme="minorHAnsi" w:cstheme="minorHAnsi"/>
        </w:rPr>
        <w:t>L’autorité de l’employeur.</w:t>
      </w:r>
    </w:p>
    <w:p w14:paraId="7565EF48" w14:textId="77777777" w:rsidR="002C4EF6" w:rsidRPr="006E2F26" w:rsidRDefault="002C4EF6" w:rsidP="002C4EF6">
      <w:p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lang w:val="fr-FR"/>
        </w:rPr>
      </w:pPr>
    </w:p>
    <w:p w14:paraId="6299836E" w14:textId="77777777" w:rsidR="002C4EF6" w:rsidRPr="006E2F26" w:rsidRDefault="002C4EF6" w:rsidP="002C4EF6">
      <w:p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lang w:val="fr-FR"/>
        </w:rPr>
      </w:pPr>
      <w:r w:rsidRPr="006E2F26">
        <w:rPr>
          <w:rFonts w:asciiTheme="minorHAnsi" w:hAnsiTheme="minorHAnsi" w:cstheme="minorHAnsi"/>
          <w:lang w:val="fr-FR"/>
        </w:rPr>
        <w:t>Les deux premiers critères relatifs au contrat de travail, l’exercice d’un travail et l’octroi d’une rémunération posent rarement question, comme dans le présent litige. C’est le troisième critère, l’autorité de l’employeur, qui est ici, comme souvent, discuté. Il consiste à vérifier l’existence d’un lien de subordination.</w:t>
      </w:r>
    </w:p>
    <w:p w14:paraId="365410EB" w14:textId="77777777" w:rsidR="002C4EF6" w:rsidRPr="006E2F26" w:rsidRDefault="002C4EF6" w:rsidP="002C4EF6">
      <w:p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lang w:val="fr-FR"/>
        </w:rPr>
      </w:pPr>
    </w:p>
    <w:p w14:paraId="5219C7CF" w14:textId="77777777" w:rsidR="002C4EF6" w:rsidRPr="006E2F26" w:rsidRDefault="002C4EF6" w:rsidP="002C4EF6">
      <w:pPr>
        <w:jc w:val="both"/>
        <w:rPr>
          <w:rFonts w:asciiTheme="minorHAnsi" w:hAnsiTheme="minorHAnsi" w:cstheme="minorHAnsi"/>
          <w:lang w:val="fr-FR"/>
        </w:rPr>
      </w:pPr>
      <w:r w:rsidRPr="006E2F26">
        <w:rPr>
          <w:rFonts w:asciiTheme="minorHAnsi" w:hAnsiTheme="minorHAnsi" w:cstheme="minorHAnsi"/>
          <w:lang w:val="fr-FR"/>
        </w:rPr>
        <w:t xml:space="preserve">Le lien de subordination constitue l’élément essentiel de tout contrat de travail. C’est ce qui le distingue de la convention </w:t>
      </w:r>
      <w:r w:rsidR="00F909C7" w:rsidRPr="006E2F26">
        <w:rPr>
          <w:rFonts w:asciiTheme="minorHAnsi" w:hAnsiTheme="minorHAnsi" w:cstheme="minorHAnsi"/>
          <w:lang w:val="fr-FR"/>
        </w:rPr>
        <w:t>de prestation de services</w:t>
      </w:r>
      <w:r w:rsidRPr="006E2F26">
        <w:rPr>
          <w:rFonts w:asciiTheme="minorHAnsi" w:hAnsiTheme="minorHAnsi" w:cstheme="minorHAnsi"/>
          <w:lang w:val="fr-FR"/>
        </w:rPr>
        <w:t xml:space="preserve"> notamment. </w:t>
      </w:r>
    </w:p>
    <w:p w14:paraId="42133221" w14:textId="77777777" w:rsidR="00D61618" w:rsidRPr="006E2F26" w:rsidRDefault="00D61618" w:rsidP="002C4EF6">
      <w:pPr>
        <w:jc w:val="both"/>
        <w:rPr>
          <w:rFonts w:asciiTheme="minorHAnsi" w:hAnsiTheme="minorHAnsi" w:cstheme="minorHAnsi"/>
          <w:lang w:val="fr-FR"/>
        </w:rPr>
      </w:pPr>
    </w:p>
    <w:p w14:paraId="75770556" w14:textId="77777777" w:rsidR="00D61618" w:rsidRPr="006E2F26" w:rsidRDefault="00D61618" w:rsidP="00D61618">
      <w:p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lang w:val="fr-FR"/>
        </w:rPr>
      </w:pPr>
      <w:r w:rsidRPr="006E2F26">
        <w:rPr>
          <w:rFonts w:asciiTheme="minorHAnsi" w:hAnsiTheme="minorHAnsi" w:cstheme="minorHAnsi"/>
          <w:lang w:val="fr-FR"/>
        </w:rPr>
        <w:t>La notion centrale au centre du lien de subordination est la notion d’au</w:t>
      </w:r>
      <w:r w:rsidR="00BB1CD6" w:rsidRPr="006E2F26">
        <w:rPr>
          <w:rFonts w:asciiTheme="minorHAnsi" w:hAnsiTheme="minorHAnsi" w:cstheme="minorHAnsi"/>
          <w:lang w:val="fr-FR"/>
        </w:rPr>
        <w:t>torité juridique de l’employeur. Elle est</w:t>
      </w:r>
      <w:r w:rsidRPr="006E2F26">
        <w:rPr>
          <w:rFonts w:asciiTheme="minorHAnsi" w:hAnsiTheme="minorHAnsi" w:cstheme="minorHAnsi"/>
          <w:lang w:val="fr-FR"/>
        </w:rPr>
        <w:t xml:space="preserve"> définie comme impliquant le droit de l’employeur de donner des ordres ayant pour finalité de diriger le travail à accomplir et d’en contrôler l’exécution</w:t>
      </w:r>
      <w:r w:rsidRPr="006E2F26">
        <w:rPr>
          <w:rStyle w:val="Appelnotedebasdep"/>
          <w:rFonts w:asciiTheme="minorHAnsi" w:hAnsiTheme="minorHAnsi" w:cstheme="minorHAnsi"/>
          <w:lang w:val="fr-FR"/>
        </w:rPr>
        <w:footnoteReference w:id="24"/>
      </w:r>
      <w:r w:rsidRPr="006E2F26">
        <w:rPr>
          <w:rFonts w:asciiTheme="minorHAnsi" w:hAnsiTheme="minorHAnsi" w:cstheme="minorHAnsi"/>
          <w:lang w:val="fr-FR"/>
        </w:rPr>
        <w:t>.</w:t>
      </w:r>
    </w:p>
    <w:p w14:paraId="72149CEA" w14:textId="77777777" w:rsidR="00102F45" w:rsidRPr="006E2F26" w:rsidRDefault="00102F45" w:rsidP="00340823">
      <w:pPr>
        <w:pStyle w:val="Textebrut"/>
        <w:tabs>
          <w:tab w:val="left" w:pos="1843"/>
        </w:tabs>
        <w:jc w:val="both"/>
        <w:rPr>
          <w:rFonts w:asciiTheme="minorHAnsi" w:hAnsiTheme="minorHAnsi" w:cstheme="minorHAnsi"/>
          <w:sz w:val="24"/>
          <w:szCs w:val="24"/>
          <w:lang w:val="fr-FR"/>
        </w:rPr>
      </w:pPr>
    </w:p>
    <w:p w14:paraId="1BD4B3C6" w14:textId="77777777" w:rsidR="00102F45" w:rsidRPr="006E2F26" w:rsidRDefault="003B6012" w:rsidP="00340823">
      <w:p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lang w:val="fr-FR"/>
        </w:rPr>
      </w:pPr>
      <w:r w:rsidRPr="006E2F26">
        <w:rPr>
          <w:rFonts w:asciiTheme="minorHAnsi" w:hAnsiTheme="minorHAnsi" w:cstheme="minorHAnsi"/>
        </w:rPr>
        <w:t xml:space="preserve">2. </w:t>
      </w:r>
      <w:r w:rsidR="00102F45" w:rsidRPr="006E2F26">
        <w:rPr>
          <w:rFonts w:asciiTheme="minorHAnsi" w:hAnsiTheme="minorHAnsi" w:cstheme="minorHAnsi"/>
        </w:rPr>
        <w:t>L’article 1134 du code civil énonce le principe relatif à la primauté de la volonté des parties</w:t>
      </w:r>
      <w:r w:rsidR="00102F45" w:rsidRPr="006E2F26">
        <w:rPr>
          <w:rFonts w:asciiTheme="minorHAnsi" w:hAnsiTheme="minorHAnsi" w:cstheme="minorHAnsi"/>
          <w:lang w:val="fr-FR"/>
        </w:rPr>
        <w:t>. Le juge peut toutefois exclure la qualification donnée par les parties et y substitu</w:t>
      </w:r>
      <w:r w:rsidR="00666925" w:rsidRPr="006E2F26">
        <w:rPr>
          <w:rFonts w:asciiTheme="minorHAnsi" w:hAnsiTheme="minorHAnsi" w:cstheme="minorHAnsi"/>
          <w:lang w:val="fr-FR"/>
        </w:rPr>
        <w:t>er une qualification différente</w:t>
      </w:r>
      <w:r w:rsidR="00102F45" w:rsidRPr="006E2F26">
        <w:rPr>
          <w:rFonts w:asciiTheme="minorHAnsi" w:hAnsiTheme="minorHAnsi" w:cstheme="minorHAnsi"/>
          <w:lang w:val="fr-FR"/>
        </w:rPr>
        <w:t xml:space="preserve"> si les éléments de l’espèce sont incompatibles avec la qualification donnée</w:t>
      </w:r>
      <w:r w:rsidR="00102F45" w:rsidRPr="006E2F26">
        <w:rPr>
          <w:rStyle w:val="Appelnotedebasdep"/>
          <w:rFonts w:asciiTheme="minorHAnsi" w:hAnsiTheme="minorHAnsi" w:cstheme="minorHAnsi"/>
        </w:rPr>
        <w:footnoteReference w:id="25"/>
      </w:r>
      <w:r w:rsidR="00102F45" w:rsidRPr="006E2F26">
        <w:rPr>
          <w:rFonts w:asciiTheme="minorHAnsi" w:hAnsiTheme="minorHAnsi" w:cstheme="minorHAnsi"/>
          <w:lang w:val="fr-FR"/>
        </w:rPr>
        <w:t>.</w:t>
      </w:r>
    </w:p>
    <w:p w14:paraId="4A0162A9" w14:textId="77777777" w:rsidR="00102F45" w:rsidRPr="006E2F26" w:rsidRDefault="00102F45" w:rsidP="00340823">
      <w:p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lang w:val="fr-FR"/>
        </w:rPr>
      </w:pPr>
    </w:p>
    <w:p w14:paraId="3232BBEC" w14:textId="77777777" w:rsidR="00102F45" w:rsidRPr="006E2F26" w:rsidRDefault="002B0AC8" w:rsidP="002B0AC8">
      <w:p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bCs/>
          <w:color w:val="000000"/>
        </w:rPr>
      </w:pPr>
      <w:r w:rsidRPr="006E2F26">
        <w:rPr>
          <w:rFonts w:asciiTheme="minorHAnsi" w:hAnsiTheme="minorHAnsi" w:cstheme="minorHAnsi"/>
          <w:lang w:val="fr-FR"/>
        </w:rPr>
        <w:t>Ces principes sont également consacrés</w:t>
      </w:r>
      <w:r w:rsidR="00102F45" w:rsidRPr="006E2F26">
        <w:rPr>
          <w:rFonts w:asciiTheme="minorHAnsi" w:hAnsiTheme="minorHAnsi" w:cstheme="minorHAnsi"/>
          <w:lang w:val="fr-FR"/>
        </w:rPr>
        <w:t xml:space="preserve"> </w:t>
      </w:r>
      <w:r w:rsidRPr="006E2F26">
        <w:rPr>
          <w:rFonts w:asciiTheme="minorHAnsi" w:hAnsiTheme="minorHAnsi" w:cstheme="minorHAnsi"/>
          <w:lang w:val="fr-FR"/>
        </w:rPr>
        <w:t>dans la loi relative à la relation de travail qui précise</w:t>
      </w:r>
      <w:r w:rsidR="00102F45" w:rsidRPr="006E2F26">
        <w:rPr>
          <w:rFonts w:asciiTheme="minorHAnsi" w:hAnsiTheme="minorHAnsi" w:cstheme="minorHAnsi"/>
          <w:lang w:val="fr-FR"/>
        </w:rPr>
        <w:t xml:space="preserve"> que « </w:t>
      </w:r>
      <w:r w:rsidRPr="006E2F26">
        <w:rPr>
          <w:rFonts w:asciiTheme="minorHAnsi" w:hAnsiTheme="minorHAnsi" w:cstheme="minorHAnsi"/>
          <w:i/>
          <w:lang w:val="fr-FR"/>
        </w:rPr>
        <w:t>les parties choisissent librement la nature de leur relation de travail, dont l'exécution effective doit être en concordance avec la nature de la relation. La priorité est à donner à la qualification qui se révèle de l'exercice effectif si celle-ci exclut la qualification juridique choisie par les parties</w:t>
      </w:r>
      <w:r w:rsidRPr="006E2F26">
        <w:rPr>
          <w:rStyle w:val="Appelnotedebasdep"/>
          <w:rFonts w:asciiTheme="minorHAnsi" w:hAnsiTheme="minorHAnsi" w:cstheme="minorHAnsi"/>
          <w:i/>
          <w:lang w:val="fr-FR"/>
        </w:rPr>
        <w:footnoteReference w:id="26"/>
      </w:r>
      <w:r w:rsidRPr="006E2F26">
        <w:rPr>
          <w:rFonts w:asciiTheme="minorHAnsi" w:hAnsiTheme="minorHAnsi" w:cstheme="minorHAnsi"/>
          <w:bCs/>
          <w:color w:val="000000"/>
        </w:rPr>
        <w:t>»</w:t>
      </w:r>
      <w:r w:rsidR="003F6EC3" w:rsidRPr="006E2F26">
        <w:rPr>
          <w:rFonts w:asciiTheme="minorHAnsi" w:hAnsiTheme="minorHAnsi" w:cstheme="minorHAnsi"/>
          <w:bCs/>
          <w:color w:val="000000"/>
        </w:rPr>
        <w:t>.</w:t>
      </w:r>
    </w:p>
    <w:p w14:paraId="5F600DFF" w14:textId="77777777" w:rsidR="00D0592D" w:rsidRPr="006E2F26" w:rsidRDefault="00D0592D" w:rsidP="002B0AC8">
      <w:p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bCs/>
          <w:color w:val="000000"/>
        </w:rPr>
      </w:pPr>
    </w:p>
    <w:p w14:paraId="0305D17F" w14:textId="77777777" w:rsidR="00D0592D" w:rsidRPr="006E2F26" w:rsidRDefault="00D0592D" w:rsidP="00D0592D">
      <w:pPr>
        <w:ind w:left="426" w:hanging="426"/>
        <w:jc w:val="both"/>
        <w:rPr>
          <w:rFonts w:asciiTheme="minorHAnsi" w:hAnsiTheme="minorHAnsi" w:cstheme="minorHAnsi"/>
          <w:lang w:val="fr-FR"/>
        </w:rPr>
      </w:pPr>
      <w:r w:rsidRPr="006E2F26">
        <w:rPr>
          <w:rFonts w:asciiTheme="minorHAnsi" w:hAnsiTheme="minorHAnsi" w:cstheme="minorHAnsi"/>
          <w:lang w:val="fr-FR"/>
        </w:rPr>
        <w:t xml:space="preserve">La loi </w:t>
      </w:r>
      <w:r w:rsidR="00364AD1" w:rsidRPr="006E2F26">
        <w:rPr>
          <w:rFonts w:asciiTheme="minorHAnsi" w:hAnsiTheme="minorHAnsi" w:cstheme="minorHAnsi"/>
          <w:lang w:val="fr-FR"/>
        </w:rPr>
        <w:t>prévoit une</w:t>
      </w:r>
      <w:r w:rsidRPr="006E2F26">
        <w:rPr>
          <w:rFonts w:asciiTheme="minorHAnsi" w:hAnsiTheme="minorHAnsi" w:cstheme="minorHAnsi"/>
          <w:lang w:val="fr-FR"/>
        </w:rPr>
        <w:t xml:space="preserve"> </w:t>
      </w:r>
      <w:r w:rsidR="00364AD1" w:rsidRPr="006E2F26">
        <w:rPr>
          <w:rFonts w:asciiTheme="minorHAnsi" w:hAnsiTheme="minorHAnsi" w:cstheme="minorHAnsi"/>
          <w:lang w:val="fr-FR"/>
        </w:rPr>
        <w:t>re</w:t>
      </w:r>
      <w:r w:rsidRPr="006E2F26">
        <w:rPr>
          <w:rFonts w:asciiTheme="minorHAnsi" w:hAnsiTheme="minorHAnsi" w:cstheme="minorHAnsi"/>
          <w:lang w:val="fr-FR"/>
        </w:rPr>
        <w:t>qualification</w:t>
      </w:r>
      <w:r w:rsidR="00364AD1" w:rsidRPr="006E2F26">
        <w:rPr>
          <w:rFonts w:asciiTheme="minorHAnsi" w:hAnsiTheme="minorHAnsi" w:cstheme="minorHAnsi"/>
          <w:lang w:val="fr-FR"/>
        </w:rPr>
        <w:t xml:space="preserve"> de la relation de travail</w:t>
      </w:r>
      <w:r w:rsidR="007C52A0" w:rsidRPr="006E2F26">
        <w:rPr>
          <w:rStyle w:val="Appelnotedebasdep"/>
          <w:rFonts w:asciiTheme="minorHAnsi" w:hAnsiTheme="minorHAnsi" w:cstheme="minorHAnsi"/>
          <w:lang w:val="fr-FR"/>
        </w:rPr>
        <w:footnoteReference w:id="27"/>
      </w:r>
      <w:r w:rsidR="00364AD1" w:rsidRPr="006E2F26">
        <w:rPr>
          <w:rFonts w:asciiTheme="minorHAnsi" w:hAnsiTheme="minorHAnsi" w:cstheme="minorHAnsi"/>
          <w:lang w:val="fr-FR"/>
        </w:rPr>
        <w:t xml:space="preserve"> </w:t>
      </w:r>
      <w:r w:rsidRPr="006E2F26">
        <w:rPr>
          <w:rFonts w:asciiTheme="minorHAnsi" w:hAnsiTheme="minorHAnsi" w:cstheme="minorHAnsi"/>
          <w:lang w:val="fr-FR"/>
        </w:rPr>
        <w:t xml:space="preserve"> : </w:t>
      </w:r>
    </w:p>
    <w:p w14:paraId="1142B128" w14:textId="77777777" w:rsidR="00D0592D" w:rsidRPr="006E2F26" w:rsidRDefault="00D0592D" w:rsidP="00D0592D">
      <w:pPr>
        <w:ind w:left="426" w:hanging="426"/>
        <w:jc w:val="both"/>
        <w:rPr>
          <w:rFonts w:asciiTheme="minorHAnsi" w:hAnsiTheme="minorHAnsi" w:cstheme="minorHAnsi"/>
          <w:lang w:val="fr-FR"/>
        </w:rPr>
      </w:pPr>
    </w:p>
    <w:p w14:paraId="469311F7" w14:textId="77777777" w:rsidR="00364AD1" w:rsidRPr="006E2F26" w:rsidRDefault="00364AD1" w:rsidP="00364AD1">
      <w:pPr>
        <w:pStyle w:val="Paragraphedeliste"/>
        <w:numPr>
          <w:ilvl w:val="0"/>
          <w:numId w:val="14"/>
        </w:numPr>
        <w:jc w:val="both"/>
        <w:rPr>
          <w:rFonts w:asciiTheme="minorHAnsi" w:hAnsiTheme="minorHAnsi" w:cstheme="minorHAnsi"/>
          <w:lang w:val="fr-FR"/>
        </w:rPr>
      </w:pPr>
      <w:r w:rsidRPr="006E2F26">
        <w:rPr>
          <w:rFonts w:asciiTheme="minorHAnsi" w:hAnsiTheme="minorHAnsi" w:cstheme="minorHAnsi"/>
          <w:lang w:val="fr-FR"/>
        </w:rPr>
        <w:t>s</w:t>
      </w:r>
      <w:r w:rsidR="00D0592D" w:rsidRPr="006E2F26">
        <w:rPr>
          <w:rFonts w:asciiTheme="minorHAnsi" w:hAnsiTheme="minorHAnsi" w:cstheme="minorHAnsi"/>
          <w:lang w:val="fr-FR"/>
        </w:rPr>
        <w:t>oit lorsque l'exécution de la relation de travail laisse apparaître la réunion de suffisamment d'éléments incompatibles avec la qualification donnée par les pa</w:t>
      </w:r>
      <w:r w:rsidRPr="006E2F26">
        <w:rPr>
          <w:rFonts w:asciiTheme="minorHAnsi" w:hAnsiTheme="minorHAnsi" w:cstheme="minorHAnsi"/>
          <w:lang w:val="fr-FR"/>
        </w:rPr>
        <w:t>rties à la relation de travail ;</w:t>
      </w:r>
    </w:p>
    <w:p w14:paraId="132517AF" w14:textId="77777777" w:rsidR="00D0592D" w:rsidRPr="006E2F26" w:rsidRDefault="00D0592D" w:rsidP="00364AD1">
      <w:pPr>
        <w:pStyle w:val="Paragraphedeliste"/>
        <w:numPr>
          <w:ilvl w:val="0"/>
          <w:numId w:val="14"/>
        </w:numPr>
        <w:jc w:val="both"/>
        <w:rPr>
          <w:rFonts w:asciiTheme="minorHAnsi" w:hAnsiTheme="minorHAnsi" w:cstheme="minorHAnsi"/>
          <w:lang w:val="fr-FR"/>
        </w:rPr>
      </w:pPr>
      <w:r w:rsidRPr="006E2F26">
        <w:rPr>
          <w:rFonts w:asciiTheme="minorHAnsi" w:hAnsiTheme="minorHAnsi" w:cstheme="minorHAnsi"/>
          <w:lang w:val="fr-FR"/>
        </w:rPr>
        <w:t xml:space="preserve">soit lorsque la qualification donnée par les parties à la relation de travail ne correspond pas à la nature de la relation de travail présumée, conformément </w:t>
      </w:r>
      <w:r w:rsidR="00364AD1" w:rsidRPr="006E2F26">
        <w:rPr>
          <w:rFonts w:asciiTheme="minorHAnsi" w:hAnsiTheme="minorHAnsi" w:cstheme="minorHAnsi"/>
          <w:lang w:val="fr-FR"/>
        </w:rPr>
        <w:t>aux dispositions particulières que la loi établit et sans préjudice d’autres dispositions qui fixe</w:t>
      </w:r>
      <w:r w:rsidR="00701667" w:rsidRPr="006E2F26">
        <w:rPr>
          <w:rFonts w:asciiTheme="minorHAnsi" w:hAnsiTheme="minorHAnsi" w:cstheme="minorHAnsi"/>
          <w:lang w:val="fr-FR"/>
        </w:rPr>
        <w:t>nt</w:t>
      </w:r>
      <w:r w:rsidR="00364AD1" w:rsidRPr="006E2F26">
        <w:rPr>
          <w:rFonts w:asciiTheme="minorHAnsi" w:hAnsiTheme="minorHAnsi" w:cstheme="minorHAnsi"/>
          <w:lang w:val="fr-FR"/>
        </w:rPr>
        <w:t xml:space="preserve"> une présomption.</w:t>
      </w:r>
    </w:p>
    <w:p w14:paraId="110A5E15" w14:textId="77777777" w:rsidR="00D0592D" w:rsidRPr="006E2F26" w:rsidRDefault="00D0592D" w:rsidP="00D0592D">
      <w:pPr>
        <w:ind w:left="426" w:hanging="426"/>
        <w:jc w:val="both"/>
        <w:rPr>
          <w:rFonts w:asciiTheme="minorHAnsi" w:hAnsiTheme="minorHAnsi" w:cstheme="minorHAnsi"/>
          <w:b/>
          <w:bCs/>
          <w:lang w:val="fr-FR"/>
        </w:rPr>
      </w:pPr>
    </w:p>
    <w:p w14:paraId="55C8065F" w14:textId="77777777" w:rsidR="003115E9" w:rsidRPr="006E2F26" w:rsidRDefault="002C4EF6" w:rsidP="00340823">
      <w:p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bCs/>
          <w:color w:val="000000"/>
        </w:rPr>
      </w:pPr>
      <w:r w:rsidRPr="006E2F26">
        <w:rPr>
          <w:rFonts w:asciiTheme="minorHAnsi" w:hAnsiTheme="minorHAnsi" w:cstheme="minorHAnsi"/>
          <w:lang w:val="fr-FR"/>
        </w:rPr>
        <w:lastRenderedPageBreak/>
        <w:t xml:space="preserve">Les critères qui permettent </w:t>
      </w:r>
      <w:r w:rsidRPr="006E2F26">
        <w:rPr>
          <w:rFonts w:asciiTheme="minorHAnsi" w:hAnsiTheme="minorHAnsi" w:cstheme="minorHAnsi"/>
          <w:bCs/>
          <w:color w:val="000000"/>
        </w:rPr>
        <w:t> d'apprécier l'existence ou l'absence de ce lien d'autorité sont énumérés par la loi comme suit </w:t>
      </w:r>
      <w:r w:rsidRPr="006E2F26">
        <w:rPr>
          <w:rStyle w:val="Appelnotedebasdep"/>
          <w:rFonts w:asciiTheme="minorHAnsi" w:hAnsiTheme="minorHAnsi" w:cstheme="minorHAnsi"/>
          <w:bCs/>
          <w:color w:val="000000"/>
        </w:rPr>
        <w:footnoteReference w:id="28"/>
      </w:r>
      <w:r w:rsidRPr="006E2F26">
        <w:rPr>
          <w:rFonts w:asciiTheme="minorHAnsi" w:hAnsiTheme="minorHAnsi" w:cstheme="minorHAnsi"/>
          <w:bCs/>
          <w:color w:val="000000"/>
        </w:rPr>
        <w:t>:</w:t>
      </w:r>
    </w:p>
    <w:p w14:paraId="75A953EF" w14:textId="77777777" w:rsidR="0095253D" w:rsidRPr="006E2F26" w:rsidRDefault="0095253D" w:rsidP="00340823">
      <w:p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bCs/>
          <w:color w:val="000000"/>
        </w:rPr>
      </w:pPr>
    </w:p>
    <w:p w14:paraId="7C05E777" w14:textId="77777777" w:rsidR="0095253D" w:rsidRPr="006E2F26" w:rsidRDefault="00102F45" w:rsidP="00340823">
      <w:pPr>
        <w:pStyle w:val="Paragraphedeliste"/>
        <w:numPr>
          <w:ilvl w:val="0"/>
          <w:numId w:val="15"/>
        </w:num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bCs/>
          <w:color w:val="000000"/>
        </w:rPr>
      </w:pPr>
      <w:r w:rsidRPr="006E2F26">
        <w:rPr>
          <w:rFonts w:asciiTheme="minorHAnsi" w:hAnsiTheme="minorHAnsi" w:cstheme="minorHAnsi"/>
          <w:bCs/>
          <w:color w:val="000000"/>
          <w:u w:val="single"/>
        </w:rPr>
        <w:t>la volonté des parties</w:t>
      </w:r>
      <w:r w:rsidRPr="006E2F26">
        <w:rPr>
          <w:rFonts w:asciiTheme="minorHAnsi" w:hAnsiTheme="minorHAnsi" w:cstheme="minorHAnsi"/>
          <w:bCs/>
          <w:color w:val="000000"/>
        </w:rPr>
        <w:t xml:space="preserve"> telle qu'exprimée dans leur convention, pour autant que cette dernière soit exécutée conformément au</w:t>
      </w:r>
      <w:r w:rsidR="0095253D" w:rsidRPr="006E2F26">
        <w:rPr>
          <w:rFonts w:asciiTheme="minorHAnsi" w:hAnsiTheme="minorHAnsi" w:cstheme="minorHAnsi"/>
          <w:bCs/>
          <w:color w:val="000000"/>
        </w:rPr>
        <w:t xml:space="preserve">x dispositions de l'article 331 ; </w:t>
      </w:r>
    </w:p>
    <w:p w14:paraId="098DB2F3" w14:textId="77777777" w:rsidR="0095253D" w:rsidRPr="006E2F26" w:rsidRDefault="00102F45" w:rsidP="00364AD1">
      <w:pPr>
        <w:pStyle w:val="Paragraphedeliste"/>
        <w:numPr>
          <w:ilvl w:val="0"/>
          <w:numId w:val="15"/>
        </w:num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bCs/>
          <w:color w:val="000000"/>
        </w:rPr>
      </w:pPr>
      <w:r w:rsidRPr="006E2F26">
        <w:rPr>
          <w:rFonts w:asciiTheme="minorHAnsi" w:hAnsiTheme="minorHAnsi" w:cstheme="minorHAnsi"/>
          <w:bCs/>
          <w:color w:val="000000"/>
          <w:u w:val="single"/>
        </w:rPr>
        <w:t>la liberté d'organisation du temps de travail</w:t>
      </w:r>
      <w:r w:rsidR="0095253D" w:rsidRPr="006E2F26">
        <w:rPr>
          <w:rFonts w:asciiTheme="minorHAnsi" w:hAnsiTheme="minorHAnsi" w:cstheme="minorHAnsi"/>
          <w:bCs/>
          <w:color w:val="000000"/>
        </w:rPr>
        <w:t xml:space="preserve"> </w:t>
      </w:r>
      <w:r w:rsidRPr="006E2F26">
        <w:rPr>
          <w:rFonts w:asciiTheme="minorHAnsi" w:hAnsiTheme="minorHAnsi" w:cstheme="minorHAnsi"/>
          <w:bCs/>
          <w:color w:val="000000"/>
        </w:rPr>
        <w:t>;</w:t>
      </w:r>
    </w:p>
    <w:p w14:paraId="1C16CB5A" w14:textId="77777777" w:rsidR="0095253D" w:rsidRPr="006E2F26" w:rsidRDefault="00102F45" w:rsidP="00364AD1">
      <w:pPr>
        <w:pStyle w:val="Paragraphedeliste"/>
        <w:numPr>
          <w:ilvl w:val="0"/>
          <w:numId w:val="15"/>
        </w:num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bCs/>
          <w:color w:val="000000"/>
        </w:rPr>
      </w:pPr>
      <w:r w:rsidRPr="006E2F26">
        <w:rPr>
          <w:rFonts w:asciiTheme="minorHAnsi" w:hAnsiTheme="minorHAnsi" w:cstheme="minorHAnsi"/>
          <w:bCs/>
          <w:color w:val="000000"/>
          <w:u w:val="single"/>
        </w:rPr>
        <w:t>la liberté d'organisation du travail</w:t>
      </w:r>
      <w:r w:rsidR="0095253D" w:rsidRPr="006E2F26">
        <w:rPr>
          <w:rFonts w:asciiTheme="minorHAnsi" w:hAnsiTheme="minorHAnsi" w:cstheme="minorHAnsi"/>
          <w:bCs/>
          <w:color w:val="000000"/>
        </w:rPr>
        <w:t xml:space="preserve"> </w:t>
      </w:r>
      <w:r w:rsidRPr="006E2F26">
        <w:rPr>
          <w:rFonts w:asciiTheme="minorHAnsi" w:hAnsiTheme="minorHAnsi" w:cstheme="minorHAnsi"/>
          <w:bCs/>
          <w:color w:val="000000"/>
        </w:rPr>
        <w:t>;</w:t>
      </w:r>
    </w:p>
    <w:p w14:paraId="31840294" w14:textId="77777777" w:rsidR="00102F45" w:rsidRPr="006E2F26" w:rsidRDefault="00102F45" w:rsidP="00364AD1">
      <w:pPr>
        <w:pStyle w:val="Paragraphedeliste"/>
        <w:numPr>
          <w:ilvl w:val="0"/>
          <w:numId w:val="15"/>
        </w:num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bCs/>
          <w:color w:val="000000"/>
        </w:rPr>
      </w:pPr>
      <w:r w:rsidRPr="006E2F26">
        <w:rPr>
          <w:rFonts w:asciiTheme="minorHAnsi" w:hAnsiTheme="minorHAnsi" w:cstheme="minorHAnsi"/>
          <w:bCs/>
          <w:color w:val="000000"/>
          <w:u w:val="single"/>
        </w:rPr>
        <w:t>la possibilité d'exercer un contrôle hiérarchique</w:t>
      </w:r>
      <w:r w:rsidRPr="006E2F26">
        <w:rPr>
          <w:rFonts w:asciiTheme="minorHAnsi" w:hAnsiTheme="minorHAnsi" w:cstheme="minorHAnsi"/>
          <w:bCs/>
          <w:color w:val="000000"/>
        </w:rPr>
        <w:t>.</w:t>
      </w:r>
    </w:p>
    <w:p w14:paraId="3063BB29" w14:textId="77777777" w:rsidR="002C4EF6" w:rsidRPr="006E2F26" w:rsidRDefault="002C4EF6" w:rsidP="002C4EF6">
      <w:p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bCs/>
          <w:color w:val="000000"/>
        </w:rPr>
      </w:pPr>
    </w:p>
    <w:p w14:paraId="7D0FF419" w14:textId="77777777" w:rsidR="002C4EF6" w:rsidRPr="006E2F26" w:rsidRDefault="002C4EF6" w:rsidP="002C4EF6">
      <w:p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lang w:val="fr-FR"/>
        </w:rPr>
      </w:pPr>
      <w:r w:rsidRPr="006E2F26">
        <w:rPr>
          <w:rFonts w:asciiTheme="minorHAnsi" w:hAnsiTheme="minorHAnsi" w:cstheme="minorHAnsi"/>
          <w:lang w:val="fr-FR"/>
        </w:rPr>
        <w:t>La loi précise encore que les contraintes inhérentes à l'exercice d'une profession qui sont imposées par ou en vertu d'une loi, ne peuvent être prises en considération pour apprécier la nature d'une relation de travail.</w:t>
      </w:r>
    </w:p>
    <w:p w14:paraId="68146BF9" w14:textId="77777777" w:rsidR="005C227C" w:rsidRPr="006E2F26" w:rsidRDefault="005C227C" w:rsidP="002C4EF6">
      <w:p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lang w:val="fr-FR"/>
        </w:rPr>
      </w:pPr>
    </w:p>
    <w:p w14:paraId="727F2A43" w14:textId="77777777" w:rsidR="002C4EF6" w:rsidRPr="006E2F26" w:rsidRDefault="005C227C" w:rsidP="002C4EF6">
      <w:p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lang w:val="fr-FR"/>
        </w:rPr>
      </w:pPr>
      <w:r w:rsidRPr="006E2F26">
        <w:rPr>
          <w:rFonts w:asciiTheme="minorHAnsi" w:hAnsiTheme="minorHAnsi" w:cstheme="minorHAnsi"/>
          <w:lang w:val="fr-FR"/>
        </w:rPr>
        <w:t>En outre, l</w:t>
      </w:r>
      <w:r w:rsidR="002C4EF6" w:rsidRPr="006E2F26">
        <w:rPr>
          <w:rFonts w:asciiTheme="minorHAnsi" w:hAnsiTheme="minorHAnsi" w:cstheme="minorHAnsi"/>
          <w:lang w:val="fr-FR"/>
        </w:rPr>
        <w:t>es éléments suivants sont, à eux seuls, impuissants à qualifier adéquatement la relation de travail :</w:t>
      </w:r>
    </w:p>
    <w:p w14:paraId="13854162" w14:textId="77777777" w:rsidR="002C4EF6" w:rsidRPr="006E2F26" w:rsidRDefault="002C4EF6" w:rsidP="002C4EF6">
      <w:p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lang w:val="fr-FR"/>
        </w:rPr>
      </w:pPr>
      <w:r w:rsidRPr="006E2F26">
        <w:rPr>
          <w:rFonts w:asciiTheme="minorHAnsi" w:hAnsiTheme="minorHAnsi" w:cstheme="minorHAnsi"/>
          <w:lang w:val="fr-FR"/>
        </w:rPr>
        <w:t xml:space="preserve">  - l'intitulé de la convention;</w:t>
      </w:r>
    </w:p>
    <w:p w14:paraId="7A29F596" w14:textId="77777777" w:rsidR="002C4EF6" w:rsidRPr="006E2F26" w:rsidRDefault="002C4EF6" w:rsidP="002C4EF6">
      <w:p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lang w:val="fr-FR"/>
        </w:rPr>
      </w:pPr>
      <w:r w:rsidRPr="006E2F26">
        <w:rPr>
          <w:rFonts w:asciiTheme="minorHAnsi" w:hAnsiTheme="minorHAnsi" w:cstheme="minorHAnsi"/>
          <w:lang w:val="fr-FR"/>
        </w:rPr>
        <w:t xml:space="preserve">  - l'inscription auprès d'un organisme de sécurité sociale;</w:t>
      </w:r>
    </w:p>
    <w:p w14:paraId="36BF630B" w14:textId="77777777" w:rsidR="002C4EF6" w:rsidRPr="006E2F26" w:rsidRDefault="002C4EF6" w:rsidP="002C4EF6">
      <w:p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lang w:val="fr-FR"/>
        </w:rPr>
      </w:pPr>
      <w:r w:rsidRPr="006E2F26">
        <w:rPr>
          <w:rFonts w:asciiTheme="minorHAnsi" w:hAnsiTheme="minorHAnsi" w:cstheme="minorHAnsi"/>
          <w:lang w:val="fr-FR"/>
        </w:rPr>
        <w:t xml:space="preserve">  - l'inscription à la Banque-Carrefour des entreprises;</w:t>
      </w:r>
    </w:p>
    <w:p w14:paraId="67477808" w14:textId="77777777" w:rsidR="002C4EF6" w:rsidRPr="006E2F26" w:rsidRDefault="002C4EF6" w:rsidP="002C4EF6">
      <w:p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lang w:val="fr-FR"/>
        </w:rPr>
      </w:pPr>
      <w:r w:rsidRPr="006E2F26">
        <w:rPr>
          <w:rFonts w:asciiTheme="minorHAnsi" w:hAnsiTheme="minorHAnsi" w:cstheme="minorHAnsi"/>
          <w:lang w:val="fr-FR"/>
        </w:rPr>
        <w:t xml:space="preserve">  - l'inscription auprès de l'administration de la T.V.A.;</w:t>
      </w:r>
    </w:p>
    <w:p w14:paraId="3BD4BF58" w14:textId="77777777" w:rsidR="00964973" w:rsidRPr="006E2F26" w:rsidRDefault="002C4EF6" w:rsidP="002C4EF6">
      <w:p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lang w:val="fr-FR"/>
        </w:rPr>
      </w:pPr>
      <w:r w:rsidRPr="006E2F26">
        <w:rPr>
          <w:rFonts w:asciiTheme="minorHAnsi" w:hAnsiTheme="minorHAnsi" w:cstheme="minorHAnsi"/>
          <w:lang w:val="fr-FR"/>
        </w:rPr>
        <w:t xml:space="preserve">  - la manière dont les revenus sont déclarés à l'administration fiscale.</w:t>
      </w:r>
    </w:p>
    <w:p w14:paraId="6BBD7725" w14:textId="77777777" w:rsidR="002C4EF6" w:rsidRPr="006E2F26" w:rsidRDefault="002C4EF6" w:rsidP="002C4EF6">
      <w:p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lang w:val="fr-FR"/>
        </w:rPr>
      </w:pPr>
    </w:p>
    <w:p w14:paraId="5E90C106" w14:textId="77777777" w:rsidR="00D717A8" w:rsidRPr="006E2F26" w:rsidRDefault="003B6012" w:rsidP="00340823">
      <w:p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lang w:val="fr-FR"/>
        </w:rPr>
      </w:pPr>
      <w:r w:rsidRPr="006E2F26">
        <w:rPr>
          <w:rFonts w:asciiTheme="minorHAnsi" w:hAnsiTheme="minorHAnsi" w:cstheme="minorHAnsi"/>
          <w:lang w:val="fr-FR"/>
        </w:rPr>
        <w:t xml:space="preserve">3. </w:t>
      </w:r>
      <w:r w:rsidR="00D717A8" w:rsidRPr="006E2F26">
        <w:rPr>
          <w:rFonts w:asciiTheme="minorHAnsi" w:hAnsiTheme="minorHAnsi" w:cstheme="minorHAnsi"/>
          <w:lang w:val="fr-FR"/>
        </w:rPr>
        <w:t>Le Trib</w:t>
      </w:r>
      <w:r w:rsidR="00F21E74" w:rsidRPr="006E2F26">
        <w:rPr>
          <w:rFonts w:asciiTheme="minorHAnsi" w:hAnsiTheme="minorHAnsi" w:cstheme="minorHAnsi"/>
          <w:lang w:val="fr-FR"/>
        </w:rPr>
        <w:t>unal va passer l</w:t>
      </w:r>
      <w:r w:rsidR="00D717A8" w:rsidRPr="006E2F26">
        <w:rPr>
          <w:rFonts w:asciiTheme="minorHAnsi" w:hAnsiTheme="minorHAnsi" w:cstheme="minorHAnsi"/>
          <w:lang w:val="fr-FR"/>
        </w:rPr>
        <w:t xml:space="preserve">es différents critères </w:t>
      </w:r>
      <w:r w:rsidR="00574781" w:rsidRPr="006E2F26">
        <w:rPr>
          <w:rFonts w:asciiTheme="minorHAnsi" w:hAnsiTheme="minorHAnsi" w:cstheme="minorHAnsi"/>
          <w:lang w:val="fr-FR"/>
        </w:rPr>
        <w:t xml:space="preserve">précités </w:t>
      </w:r>
      <w:r w:rsidR="00D717A8" w:rsidRPr="006E2F26">
        <w:rPr>
          <w:rFonts w:asciiTheme="minorHAnsi" w:hAnsiTheme="minorHAnsi" w:cstheme="minorHAnsi"/>
          <w:lang w:val="fr-FR"/>
        </w:rPr>
        <w:t>en revue au regard des éléments du présent dossier</w:t>
      </w:r>
      <w:r w:rsidR="00BF0E18">
        <w:rPr>
          <w:rFonts w:asciiTheme="minorHAnsi" w:hAnsiTheme="minorHAnsi" w:cstheme="minorHAnsi"/>
          <w:lang w:val="fr-FR"/>
        </w:rPr>
        <w:t>,</w:t>
      </w:r>
      <w:r w:rsidR="00D717A8" w:rsidRPr="006E2F26">
        <w:rPr>
          <w:rFonts w:asciiTheme="minorHAnsi" w:hAnsiTheme="minorHAnsi" w:cstheme="minorHAnsi"/>
          <w:lang w:val="fr-FR"/>
        </w:rPr>
        <w:t xml:space="preserve"> afin de vérifier l’existence d’un lien de subordination :</w:t>
      </w:r>
    </w:p>
    <w:p w14:paraId="7249E34F" w14:textId="77777777" w:rsidR="00D717A8" w:rsidRPr="006E2F26" w:rsidRDefault="00D717A8" w:rsidP="00340823">
      <w:p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lang w:val="fr-FR"/>
        </w:rPr>
      </w:pPr>
    </w:p>
    <w:p w14:paraId="17A24FA1" w14:textId="77777777" w:rsidR="00D07460" w:rsidRPr="006E2F26" w:rsidRDefault="00D717A8" w:rsidP="00D07460">
      <w:pPr>
        <w:pStyle w:val="Paragraphedeliste"/>
        <w:numPr>
          <w:ilvl w:val="0"/>
          <w:numId w:val="15"/>
        </w:num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lang w:val="fr-FR"/>
        </w:rPr>
      </w:pPr>
      <w:r w:rsidRPr="006E2F26">
        <w:rPr>
          <w:rFonts w:asciiTheme="minorHAnsi" w:hAnsiTheme="minorHAnsi" w:cstheme="minorHAnsi"/>
          <w:u w:val="single"/>
          <w:lang w:val="fr-FR"/>
        </w:rPr>
        <w:t xml:space="preserve">Concernant </w:t>
      </w:r>
      <w:r w:rsidRPr="006E2F26">
        <w:rPr>
          <w:rFonts w:asciiTheme="minorHAnsi" w:hAnsiTheme="minorHAnsi" w:cstheme="minorHAnsi"/>
          <w:bCs/>
          <w:color w:val="000000"/>
          <w:u w:val="single"/>
        </w:rPr>
        <w:t>la volonté des parties,</w:t>
      </w:r>
      <w:r w:rsidRPr="006E2F26">
        <w:rPr>
          <w:rFonts w:asciiTheme="minorHAnsi" w:hAnsiTheme="minorHAnsi" w:cstheme="minorHAnsi"/>
          <w:bCs/>
          <w:color w:val="000000"/>
        </w:rPr>
        <w:t xml:space="preserve"> s</w:t>
      </w:r>
      <w:proofErr w:type="spellStart"/>
      <w:r w:rsidR="00964973" w:rsidRPr="006E2F26">
        <w:rPr>
          <w:rFonts w:asciiTheme="minorHAnsi" w:hAnsiTheme="minorHAnsi" w:cstheme="minorHAnsi"/>
          <w:lang w:val="fr-FR"/>
        </w:rPr>
        <w:t>elon</w:t>
      </w:r>
      <w:proofErr w:type="spellEnd"/>
      <w:r w:rsidR="00964973" w:rsidRPr="006E2F26">
        <w:rPr>
          <w:rFonts w:asciiTheme="minorHAnsi" w:hAnsiTheme="minorHAnsi" w:cstheme="minorHAnsi"/>
          <w:lang w:val="fr-FR"/>
        </w:rPr>
        <w:t xml:space="preserve"> les termes de la convention conclue entre les parties, c’est une convention de prestations de services qui a été choisie comme relation de travail. </w:t>
      </w:r>
      <w:r w:rsidR="00D07460" w:rsidRPr="006E2F26">
        <w:rPr>
          <w:rFonts w:asciiTheme="minorHAnsi" w:hAnsiTheme="minorHAnsi" w:cstheme="minorHAnsi"/>
          <w:lang w:val="fr-FR"/>
        </w:rPr>
        <w:t>Elle a débuté le 1</w:t>
      </w:r>
      <w:r w:rsidR="00D07460" w:rsidRPr="006E2F26">
        <w:rPr>
          <w:rFonts w:asciiTheme="minorHAnsi" w:hAnsiTheme="minorHAnsi" w:cstheme="minorHAnsi"/>
          <w:vertAlign w:val="superscript"/>
          <w:lang w:val="fr-FR"/>
        </w:rPr>
        <w:t>er</w:t>
      </w:r>
      <w:r w:rsidR="00D07460" w:rsidRPr="006E2F26">
        <w:rPr>
          <w:rFonts w:asciiTheme="minorHAnsi" w:hAnsiTheme="minorHAnsi" w:cstheme="minorHAnsi"/>
          <w:lang w:val="fr-FR"/>
        </w:rPr>
        <w:t xml:space="preserve"> septembre </w:t>
      </w:r>
      <w:r w:rsidR="002C0588">
        <w:rPr>
          <w:rFonts w:asciiTheme="minorHAnsi" w:hAnsiTheme="minorHAnsi" w:cstheme="minorHAnsi"/>
          <w:lang w:val="fr-FR"/>
        </w:rPr>
        <w:t xml:space="preserve">2011 </w:t>
      </w:r>
      <w:r w:rsidR="00D07460" w:rsidRPr="006E2F26">
        <w:rPr>
          <w:rFonts w:asciiTheme="minorHAnsi" w:hAnsiTheme="minorHAnsi" w:cstheme="minorHAnsi"/>
          <w:lang w:val="fr-FR"/>
        </w:rPr>
        <w:t>et s’est poursuivie jusqu’au 31 décembre 2015.</w:t>
      </w:r>
    </w:p>
    <w:p w14:paraId="48D585C4" w14:textId="77777777" w:rsidR="00D07460" w:rsidRPr="006E2F26" w:rsidRDefault="00D07460" w:rsidP="00D07460">
      <w:pPr>
        <w:pStyle w:val="Paragraphedeliste"/>
        <w:tabs>
          <w:tab w:val="left" w:pos="-2834"/>
          <w:tab w:val="left" w:pos="-2114"/>
          <w:tab w:val="left" w:pos="-1394"/>
          <w:tab w:val="left" w:pos="1432"/>
        </w:tabs>
        <w:autoSpaceDE w:val="0"/>
        <w:adjustRightInd w:val="0"/>
        <w:spacing w:line="240" w:lineRule="atLeast"/>
        <w:ind w:left="360" w:right="1"/>
        <w:jc w:val="both"/>
        <w:rPr>
          <w:rFonts w:asciiTheme="minorHAnsi" w:hAnsiTheme="minorHAnsi" w:cstheme="minorHAnsi"/>
          <w:u w:val="single"/>
          <w:lang w:val="fr-FR"/>
        </w:rPr>
      </w:pPr>
    </w:p>
    <w:p w14:paraId="42798579" w14:textId="44914A53" w:rsidR="00D07460" w:rsidRPr="006E2F26" w:rsidRDefault="00D07460" w:rsidP="00D07460">
      <w:pPr>
        <w:pStyle w:val="Paragraphedeliste"/>
        <w:tabs>
          <w:tab w:val="left" w:pos="-2834"/>
          <w:tab w:val="left" w:pos="-2114"/>
          <w:tab w:val="left" w:pos="-1394"/>
          <w:tab w:val="left" w:pos="1432"/>
        </w:tabs>
        <w:autoSpaceDE w:val="0"/>
        <w:adjustRightInd w:val="0"/>
        <w:spacing w:line="240" w:lineRule="atLeast"/>
        <w:ind w:left="360" w:right="1"/>
        <w:jc w:val="both"/>
        <w:rPr>
          <w:rFonts w:asciiTheme="minorHAnsi" w:hAnsiTheme="minorHAnsi" w:cstheme="minorHAnsi"/>
          <w:lang w:val="fr-FR"/>
        </w:rPr>
      </w:pPr>
      <w:r w:rsidRPr="006E2F26">
        <w:rPr>
          <w:rFonts w:asciiTheme="minorHAnsi" w:hAnsiTheme="minorHAnsi" w:cstheme="minorHAnsi"/>
          <w:lang w:val="fr-FR"/>
        </w:rPr>
        <w:t>A partir du 1</w:t>
      </w:r>
      <w:r w:rsidRPr="006E2F26">
        <w:rPr>
          <w:rFonts w:asciiTheme="minorHAnsi" w:hAnsiTheme="minorHAnsi" w:cstheme="minorHAnsi"/>
          <w:vertAlign w:val="superscript"/>
          <w:lang w:val="fr-FR"/>
        </w:rPr>
        <w:t>er</w:t>
      </w:r>
      <w:r w:rsidRPr="006E2F26">
        <w:rPr>
          <w:rFonts w:asciiTheme="minorHAnsi" w:hAnsiTheme="minorHAnsi" w:cstheme="minorHAnsi"/>
          <w:lang w:val="fr-FR"/>
        </w:rPr>
        <w:t xml:space="preserve"> janvier 2016, un contrat de travail a été signé entre les parties.</w:t>
      </w:r>
      <w:r w:rsidR="00860D71" w:rsidRPr="006E2F26">
        <w:rPr>
          <w:rFonts w:asciiTheme="minorHAnsi" w:hAnsiTheme="minorHAnsi" w:cstheme="minorHAnsi"/>
          <w:lang w:val="fr-FR"/>
        </w:rPr>
        <w:t xml:space="preserve"> </w:t>
      </w:r>
      <w:r w:rsidR="008C7B4A" w:rsidRPr="006E2F26">
        <w:rPr>
          <w:rFonts w:asciiTheme="minorHAnsi" w:hAnsiTheme="minorHAnsi" w:cstheme="minorHAnsi"/>
          <w:lang w:val="fr-FR"/>
        </w:rPr>
        <w:t>M.</w:t>
      </w:r>
      <w:r w:rsidR="00322265" w:rsidRPr="006E2F26">
        <w:rPr>
          <w:rFonts w:asciiTheme="minorHAnsi" w:hAnsiTheme="minorHAnsi" w:cstheme="minorHAnsi"/>
          <w:lang w:val="fr-FR"/>
        </w:rPr>
        <w:t xml:space="preserve"> </w:t>
      </w:r>
      <w:r w:rsidR="00961229">
        <w:rPr>
          <w:rFonts w:asciiTheme="minorHAnsi" w:hAnsiTheme="minorHAnsi" w:cstheme="minorHAnsi"/>
          <w:lang w:val="fr-FR"/>
        </w:rPr>
        <w:t>M</w:t>
      </w:r>
      <w:r w:rsidR="00860D71" w:rsidRPr="006E2F26">
        <w:rPr>
          <w:rFonts w:asciiTheme="minorHAnsi" w:hAnsiTheme="minorHAnsi" w:cstheme="minorHAnsi"/>
          <w:lang w:val="fr-FR"/>
        </w:rPr>
        <w:t xml:space="preserve"> estime qu’il a fait suite à la régularisation effectuée par le SPF Finances- Cellule de contrôle TVA. D’un point de vue chronologique, c’est </w:t>
      </w:r>
      <w:r w:rsidR="009621F3" w:rsidRPr="006E2F26">
        <w:rPr>
          <w:rFonts w:asciiTheme="minorHAnsi" w:hAnsiTheme="minorHAnsi" w:cstheme="minorHAnsi"/>
          <w:lang w:val="fr-FR"/>
        </w:rPr>
        <w:t>bien confirmé</w:t>
      </w:r>
      <w:r w:rsidR="00860D71" w:rsidRPr="006E2F26">
        <w:rPr>
          <w:rFonts w:asciiTheme="minorHAnsi" w:hAnsiTheme="minorHAnsi" w:cstheme="minorHAnsi"/>
          <w:lang w:val="fr-FR"/>
        </w:rPr>
        <w:t xml:space="preserve"> puisque ce contrôle a eu lieu le 23 juin 2015</w:t>
      </w:r>
      <w:r w:rsidR="00A86932" w:rsidRPr="006E2F26">
        <w:rPr>
          <w:rFonts w:asciiTheme="minorHAnsi" w:hAnsiTheme="minorHAnsi" w:cstheme="minorHAnsi"/>
          <w:lang w:val="fr-FR"/>
        </w:rPr>
        <w:t xml:space="preserve"> et qu’un accord de régularisation a été signé par </w:t>
      </w:r>
      <w:r w:rsidR="006C0335" w:rsidRPr="006E2F26">
        <w:rPr>
          <w:rFonts w:asciiTheme="minorHAnsi" w:hAnsiTheme="minorHAnsi" w:cstheme="minorHAnsi"/>
          <w:lang w:val="fr-FR"/>
        </w:rPr>
        <w:t>l’</w:t>
      </w:r>
      <w:r w:rsidR="00322265" w:rsidRPr="006E2F26">
        <w:rPr>
          <w:rFonts w:asciiTheme="minorHAnsi" w:hAnsiTheme="minorHAnsi" w:cstheme="minorHAnsi"/>
          <w:lang w:val="fr-FR"/>
        </w:rPr>
        <w:t>A.S.B.L.</w:t>
      </w:r>
      <w:r w:rsidR="00A86932" w:rsidRPr="006E2F26">
        <w:rPr>
          <w:rFonts w:asciiTheme="minorHAnsi" w:hAnsiTheme="minorHAnsi" w:cstheme="minorHAnsi"/>
          <w:lang w:val="fr-FR"/>
        </w:rPr>
        <w:t xml:space="preserve"> le 8 octobre 2015</w:t>
      </w:r>
      <w:r w:rsidR="00860D71" w:rsidRPr="006E2F26">
        <w:rPr>
          <w:rFonts w:asciiTheme="minorHAnsi" w:hAnsiTheme="minorHAnsi" w:cstheme="minorHAnsi"/>
          <w:lang w:val="fr-FR"/>
        </w:rPr>
        <w:t>. En outre, un avenant au contrat de travail du 4 janvier 2016 faisait précisément référence au remboursement de la somme réclamée par le SPF Finances.</w:t>
      </w:r>
    </w:p>
    <w:p w14:paraId="4B02418E" w14:textId="77777777" w:rsidR="00860D71" w:rsidRPr="006E2F26" w:rsidRDefault="00860D71" w:rsidP="00D07460">
      <w:pPr>
        <w:pStyle w:val="Paragraphedeliste"/>
        <w:tabs>
          <w:tab w:val="left" w:pos="-2834"/>
          <w:tab w:val="left" w:pos="-2114"/>
          <w:tab w:val="left" w:pos="-1394"/>
          <w:tab w:val="left" w:pos="1432"/>
        </w:tabs>
        <w:autoSpaceDE w:val="0"/>
        <w:adjustRightInd w:val="0"/>
        <w:spacing w:line="240" w:lineRule="atLeast"/>
        <w:ind w:left="360" w:right="1"/>
        <w:jc w:val="both"/>
        <w:rPr>
          <w:rFonts w:asciiTheme="minorHAnsi" w:hAnsiTheme="minorHAnsi" w:cstheme="minorHAnsi"/>
          <w:lang w:val="fr-FR"/>
        </w:rPr>
      </w:pPr>
    </w:p>
    <w:p w14:paraId="3099D32E" w14:textId="77777777" w:rsidR="00D07460" w:rsidRPr="006E2F26" w:rsidRDefault="00F73565" w:rsidP="00986BAD">
      <w:pPr>
        <w:pStyle w:val="Paragraphedeliste"/>
        <w:tabs>
          <w:tab w:val="left" w:pos="-2834"/>
          <w:tab w:val="left" w:pos="-2114"/>
          <w:tab w:val="left" w:pos="-1394"/>
          <w:tab w:val="left" w:pos="1432"/>
        </w:tabs>
        <w:autoSpaceDE w:val="0"/>
        <w:adjustRightInd w:val="0"/>
        <w:spacing w:line="240" w:lineRule="atLeast"/>
        <w:ind w:left="360" w:right="1"/>
        <w:jc w:val="both"/>
        <w:rPr>
          <w:rFonts w:asciiTheme="minorHAnsi" w:hAnsiTheme="minorHAnsi" w:cstheme="minorHAnsi"/>
          <w:lang w:val="fr-FR"/>
        </w:rPr>
      </w:pPr>
      <w:r w:rsidRPr="006E2F26">
        <w:rPr>
          <w:rFonts w:asciiTheme="minorHAnsi" w:hAnsiTheme="minorHAnsi" w:cstheme="minorHAnsi"/>
          <w:lang w:val="fr-FR"/>
        </w:rPr>
        <w:t>Le Tribunal constate de prime à bord que les différences entre les</w:t>
      </w:r>
      <w:r w:rsidR="00986BAD" w:rsidRPr="006E2F26">
        <w:rPr>
          <w:rFonts w:asciiTheme="minorHAnsi" w:hAnsiTheme="minorHAnsi" w:cstheme="minorHAnsi"/>
          <w:lang w:val="fr-FR"/>
        </w:rPr>
        <w:t xml:space="preserve"> deux conventions sont ténues. Elles vont être analysées en fonction des critères </w:t>
      </w:r>
      <w:r w:rsidR="00987159" w:rsidRPr="006E2F26">
        <w:rPr>
          <w:rFonts w:asciiTheme="minorHAnsi" w:hAnsiTheme="minorHAnsi" w:cstheme="minorHAnsi"/>
          <w:lang w:val="fr-FR"/>
        </w:rPr>
        <w:t>ci-dessous.</w:t>
      </w:r>
    </w:p>
    <w:p w14:paraId="18476973" w14:textId="77777777" w:rsidR="00964973" w:rsidRPr="006E2F26" w:rsidRDefault="00964973" w:rsidP="00340823">
      <w:p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highlight w:val="yellow"/>
          <w:lang w:val="fr-FR"/>
        </w:rPr>
      </w:pPr>
    </w:p>
    <w:p w14:paraId="06A51D2C" w14:textId="77777777" w:rsidR="00987159" w:rsidRPr="006E2F26" w:rsidRDefault="00987159" w:rsidP="00987159">
      <w:pPr>
        <w:pStyle w:val="Paragraphedeliste"/>
        <w:numPr>
          <w:ilvl w:val="0"/>
          <w:numId w:val="15"/>
        </w:num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bCs/>
          <w:color w:val="000000"/>
        </w:rPr>
      </w:pPr>
      <w:r w:rsidRPr="006E2F26">
        <w:rPr>
          <w:rFonts w:asciiTheme="minorHAnsi" w:hAnsiTheme="minorHAnsi" w:cstheme="minorHAnsi"/>
          <w:u w:val="single"/>
          <w:lang w:val="fr-FR"/>
        </w:rPr>
        <w:t xml:space="preserve">Concernant </w:t>
      </w:r>
      <w:r w:rsidRPr="006E2F26">
        <w:rPr>
          <w:rFonts w:asciiTheme="minorHAnsi" w:hAnsiTheme="minorHAnsi" w:cstheme="minorHAnsi"/>
          <w:bCs/>
          <w:color w:val="000000"/>
          <w:u w:val="single"/>
        </w:rPr>
        <w:t>la liberté d'organisation du temps de travail</w:t>
      </w:r>
      <w:r w:rsidRPr="006E2F26">
        <w:rPr>
          <w:rFonts w:asciiTheme="minorHAnsi" w:hAnsiTheme="minorHAnsi" w:cstheme="minorHAnsi"/>
          <w:bCs/>
          <w:color w:val="000000"/>
        </w:rPr>
        <w:t xml:space="preserve">, </w:t>
      </w:r>
      <w:r w:rsidR="00D87837" w:rsidRPr="006E2F26">
        <w:rPr>
          <w:rFonts w:asciiTheme="minorHAnsi" w:hAnsiTheme="minorHAnsi" w:cstheme="minorHAnsi"/>
          <w:bCs/>
          <w:color w:val="000000"/>
        </w:rPr>
        <w:t>la convention de service prévoyait un nombre maximal de jours prestés annuellement fixé à 180 jours.</w:t>
      </w:r>
    </w:p>
    <w:p w14:paraId="075CE3E6" w14:textId="77777777" w:rsidR="00D87837" w:rsidRPr="006E2F26" w:rsidRDefault="00D87837" w:rsidP="00D87837">
      <w:pPr>
        <w:pStyle w:val="Paragraphedeliste"/>
        <w:tabs>
          <w:tab w:val="left" w:pos="-2834"/>
          <w:tab w:val="left" w:pos="-2114"/>
          <w:tab w:val="left" w:pos="-1394"/>
          <w:tab w:val="left" w:pos="1432"/>
        </w:tabs>
        <w:autoSpaceDE w:val="0"/>
        <w:adjustRightInd w:val="0"/>
        <w:spacing w:line="240" w:lineRule="atLeast"/>
        <w:ind w:left="360" w:right="1"/>
        <w:jc w:val="both"/>
        <w:rPr>
          <w:rFonts w:asciiTheme="minorHAnsi" w:hAnsiTheme="minorHAnsi" w:cstheme="minorHAnsi"/>
          <w:u w:val="single"/>
          <w:lang w:val="fr-FR"/>
        </w:rPr>
      </w:pPr>
    </w:p>
    <w:p w14:paraId="119FA9E7" w14:textId="1588B5BD" w:rsidR="00D87837" w:rsidRPr="006E2F26" w:rsidRDefault="00D87837" w:rsidP="00D87837">
      <w:pPr>
        <w:pStyle w:val="Paragraphedeliste"/>
        <w:tabs>
          <w:tab w:val="left" w:pos="-2834"/>
          <w:tab w:val="left" w:pos="-2114"/>
          <w:tab w:val="left" w:pos="-1394"/>
          <w:tab w:val="left" w:pos="1432"/>
        </w:tabs>
        <w:autoSpaceDE w:val="0"/>
        <w:adjustRightInd w:val="0"/>
        <w:spacing w:line="240" w:lineRule="atLeast"/>
        <w:ind w:left="360" w:right="1"/>
        <w:jc w:val="both"/>
        <w:rPr>
          <w:rFonts w:asciiTheme="minorHAnsi" w:hAnsiTheme="minorHAnsi" w:cstheme="minorHAnsi"/>
          <w:lang w:val="fr-FR"/>
        </w:rPr>
      </w:pPr>
      <w:r w:rsidRPr="006E2F26">
        <w:rPr>
          <w:rFonts w:asciiTheme="minorHAnsi" w:hAnsiTheme="minorHAnsi" w:cstheme="minorHAnsi"/>
          <w:lang w:val="fr-FR"/>
        </w:rPr>
        <w:t>Une note</w:t>
      </w:r>
      <w:r w:rsidR="004C0B9C" w:rsidRPr="006E2F26">
        <w:rPr>
          <w:rFonts w:asciiTheme="minorHAnsi" w:hAnsiTheme="minorHAnsi" w:cstheme="minorHAnsi"/>
          <w:lang w:val="fr-FR"/>
        </w:rPr>
        <w:t>,</w:t>
      </w:r>
      <w:r w:rsidRPr="006E2F26">
        <w:rPr>
          <w:rFonts w:asciiTheme="minorHAnsi" w:hAnsiTheme="minorHAnsi" w:cstheme="minorHAnsi"/>
          <w:lang w:val="fr-FR"/>
        </w:rPr>
        <w:t xml:space="preserve"> déposée par </w:t>
      </w:r>
      <w:r w:rsidR="008C7B4A" w:rsidRPr="006E2F26">
        <w:rPr>
          <w:rFonts w:asciiTheme="minorHAnsi" w:hAnsiTheme="minorHAnsi" w:cstheme="minorHAnsi"/>
          <w:lang w:val="fr-FR"/>
        </w:rPr>
        <w:t>M.</w:t>
      </w:r>
      <w:r w:rsidR="00322265" w:rsidRPr="006E2F26">
        <w:rPr>
          <w:rFonts w:asciiTheme="minorHAnsi" w:hAnsiTheme="minorHAnsi" w:cstheme="minorHAnsi"/>
          <w:lang w:val="fr-FR"/>
        </w:rPr>
        <w:t xml:space="preserve"> </w:t>
      </w:r>
      <w:r w:rsidR="00961229">
        <w:rPr>
          <w:rFonts w:asciiTheme="minorHAnsi" w:hAnsiTheme="minorHAnsi" w:cstheme="minorHAnsi"/>
          <w:lang w:val="fr-FR"/>
        </w:rPr>
        <w:t>M</w:t>
      </w:r>
      <w:r w:rsidRPr="006E2F26">
        <w:rPr>
          <w:rFonts w:asciiTheme="minorHAnsi" w:hAnsiTheme="minorHAnsi" w:cstheme="minorHAnsi"/>
          <w:lang w:val="fr-FR"/>
        </w:rPr>
        <w:t xml:space="preserve"> et non contestée par </w:t>
      </w:r>
      <w:r w:rsidR="00322265" w:rsidRPr="006E2F26">
        <w:rPr>
          <w:rFonts w:asciiTheme="minorHAnsi" w:hAnsiTheme="minorHAnsi" w:cstheme="minorHAnsi"/>
          <w:lang w:val="fr-FR"/>
        </w:rPr>
        <w:t>L’A.S.B.L.</w:t>
      </w:r>
      <w:r w:rsidR="004C0B9C" w:rsidRPr="006E2F26">
        <w:rPr>
          <w:rFonts w:asciiTheme="minorHAnsi" w:hAnsiTheme="minorHAnsi" w:cstheme="minorHAnsi"/>
          <w:lang w:val="fr-FR"/>
        </w:rPr>
        <w:t>,</w:t>
      </w:r>
      <w:r w:rsidRPr="006E2F26">
        <w:rPr>
          <w:rFonts w:asciiTheme="minorHAnsi" w:hAnsiTheme="minorHAnsi" w:cstheme="minorHAnsi"/>
          <w:lang w:val="fr-FR"/>
        </w:rPr>
        <w:t xml:space="preserve"> est fait état d’une réunion du 29 août 2012, au cours de laquelle les fonctions de </w:t>
      </w:r>
      <w:r w:rsidR="008C7B4A" w:rsidRPr="006E2F26">
        <w:rPr>
          <w:rFonts w:asciiTheme="minorHAnsi" w:hAnsiTheme="minorHAnsi" w:cstheme="minorHAnsi"/>
          <w:lang w:val="fr-FR"/>
        </w:rPr>
        <w:t>M.</w:t>
      </w:r>
      <w:r w:rsidR="00322265" w:rsidRPr="006E2F26">
        <w:rPr>
          <w:rFonts w:asciiTheme="minorHAnsi" w:hAnsiTheme="minorHAnsi" w:cstheme="minorHAnsi"/>
          <w:lang w:val="fr-FR"/>
        </w:rPr>
        <w:t xml:space="preserve"> </w:t>
      </w:r>
      <w:r w:rsidR="00961229">
        <w:rPr>
          <w:rFonts w:asciiTheme="minorHAnsi" w:hAnsiTheme="minorHAnsi" w:cstheme="minorHAnsi"/>
          <w:lang w:val="fr-FR"/>
        </w:rPr>
        <w:t>M</w:t>
      </w:r>
      <w:r w:rsidRPr="006E2F26">
        <w:rPr>
          <w:rFonts w:asciiTheme="minorHAnsi" w:hAnsiTheme="minorHAnsi" w:cstheme="minorHAnsi"/>
          <w:lang w:val="fr-FR"/>
        </w:rPr>
        <w:t xml:space="preserve"> sont précisées. Il y est </w:t>
      </w:r>
      <w:r w:rsidR="002C0588">
        <w:rPr>
          <w:rFonts w:asciiTheme="minorHAnsi" w:hAnsiTheme="minorHAnsi" w:cstheme="minorHAnsi"/>
          <w:lang w:val="fr-FR"/>
        </w:rPr>
        <w:t>indiqué</w:t>
      </w:r>
      <w:r w:rsidRPr="006E2F26">
        <w:rPr>
          <w:rFonts w:asciiTheme="minorHAnsi" w:hAnsiTheme="minorHAnsi" w:cstheme="minorHAnsi"/>
          <w:lang w:val="fr-FR"/>
        </w:rPr>
        <w:t xml:space="preserve"> que « </w:t>
      </w:r>
      <w:r w:rsidRPr="006E2F26">
        <w:rPr>
          <w:rFonts w:asciiTheme="minorHAnsi" w:hAnsiTheme="minorHAnsi" w:cstheme="minorHAnsi"/>
          <w:i/>
          <w:lang w:val="fr-FR"/>
        </w:rPr>
        <w:t xml:space="preserve">le contrat de Denis est passé à 240 jours compte tenu d'une </w:t>
      </w:r>
      <w:r w:rsidRPr="006E2F26">
        <w:rPr>
          <w:rFonts w:asciiTheme="minorHAnsi" w:hAnsiTheme="minorHAnsi" w:cstheme="minorHAnsi"/>
          <w:i/>
          <w:lang w:val="fr-FR"/>
        </w:rPr>
        <w:lastRenderedPageBreak/>
        <w:t xml:space="preserve">somme de 5000€ obtenue pour de la formation de haut niveau. Denis est donc temps plein. L'idéal serait de </w:t>
      </w:r>
      <w:r w:rsidR="008964D9" w:rsidRPr="006E2F26">
        <w:rPr>
          <w:rFonts w:asciiTheme="minorHAnsi" w:hAnsiTheme="minorHAnsi" w:cstheme="minorHAnsi"/>
          <w:i/>
          <w:lang w:val="fr-FR"/>
        </w:rPr>
        <w:t xml:space="preserve">ne </w:t>
      </w:r>
      <w:r w:rsidRPr="006E2F26">
        <w:rPr>
          <w:rFonts w:asciiTheme="minorHAnsi" w:hAnsiTheme="minorHAnsi" w:cstheme="minorHAnsi"/>
          <w:i/>
          <w:lang w:val="fr-FR"/>
        </w:rPr>
        <w:t xml:space="preserve">plus comptabiliser les jours mais d'avoir une facturation fixe </w:t>
      </w:r>
      <w:r w:rsidRPr="006E2F26">
        <w:rPr>
          <w:rFonts w:asciiTheme="minorHAnsi" w:hAnsiTheme="minorHAnsi" w:cstheme="minorHAnsi"/>
          <w:lang w:val="fr-FR"/>
        </w:rPr>
        <w:t>».</w:t>
      </w:r>
    </w:p>
    <w:p w14:paraId="3545B100" w14:textId="77777777" w:rsidR="0096674B" w:rsidRPr="006E2F26" w:rsidRDefault="0096674B" w:rsidP="00D87837">
      <w:pPr>
        <w:pStyle w:val="Paragraphedeliste"/>
        <w:tabs>
          <w:tab w:val="left" w:pos="-2834"/>
          <w:tab w:val="left" w:pos="-2114"/>
          <w:tab w:val="left" w:pos="-1394"/>
          <w:tab w:val="left" w:pos="1432"/>
        </w:tabs>
        <w:autoSpaceDE w:val="0"/>
        <w:adjustRightInd w:val="0"/>
        <w:spacing w:line="240" w:lineRule="atLeast"/>
        <w:ind w:left="360" w:right="1"/>
        <w:jc w:val="both"/>
        <w:rPr>
          <w:rFonts w:asciiTheme="minorHAnsi" w:hAnsiTheme="minorHAnsi" w:cstheme="minorHAnsi"/>
          <w:lang w:val="fr-FR"/>
        </w:rPr>
      </w:pPr>
    </w:p>
    <w:p w14:paraId="4DA41BAD" w14:textId="7377DCFE" w:rsidR="00987159" w:rsidRPr="006E2F26" w:rsidRDefault="0082760A" w:rsidP="007C550A">
      <w:pPr>
        <w:pStyle w:val="Paragraphedeliste"/>
        <w:tabs>
          <w:tab w:val="left" w:pos="-2834"/>
          <w:tab w:val="left" w:pos="-2114"/>
          <w:tab w:val="left" w:pos="-1394"/>
          <w:tab w:val="left" w:pos="1432"/>
        </w:tabs>
        <w:autoSpaceDE w:val="0"/>
        <w:adjustRightInd w:val="0"/>
        <w:spacing w:line="240" w:lineRule="atLeast"/>
        <w:ind w:left="360" w:right="1"/>
        <w:jc w:val="both"/>
        <w:rPr>
          <w:rFonts w:asciiTheme="minorHAnsi" w:hAnsiTheme="minorHAnsi" w:cstheme="minorHAnsi"/>
          <w:bCs/>
          <w:color w:val="000000"/>
        </w:rPr>
      </w:pPr>
      <w:r w:rsidRPr="006E2F26">
        <w:rPr>
          <w:rFonts w:asciiTheme="minorHAnsi" w:hAnsiTheme="minorHAnsi" w:cstheme="minorHAnsi"/>
          <w:lang w:val="fr-FR"/>
        </w:rPr>
        <w:t>De plus, les</w:t>
      </w:r>
      <w:r w:rsidR="0096674B" w:rsidRPr="006E2F26">
        <w:rPr>
          <w:rFonts w:asciiTheme="minorHAnsi" w:hAnsiTheme="minorHAnsi" w:cstheme="minorHAnsi"/>
          <w:lang w:val="fr-FR"/>
        </w:rPr>
        <w:t xml:space="preserve"> relevés des agendas et participations aux compétitions ou stages sportives auxquels </w:t>
      </w:r>
      <w:r w:rsidR="008C7B4A" w:rsidRPr="006E2F26">
        <w:rPr>
          <w:rFonts w:asciiTheme="minorHAnsi" w:hAnsiTheme="minorHAnsi" w:cstheme="minorHAnsi"/>
          <w:lang w:val="fr-FR"/>
        </w:rPr>
        <w:t>M.</w:t>
      </w:r>
      <w:r w:rsidR="0096674B" w:rsidRPr="006E2F26">
        <w:rPr>
          <w:rFonts w:asciiTheme="minorHAnsi" w:hAnsiTheme="minorHAnsi" w:cstheme="minorHAnsi"/>
          <w:lang w:val="fr-FR"/>
        </w:rPr>
        <w:t xml:space="preserve"> </w:t>
      </w:r>
      <w:r w:rsidR="00961229">
        <w:rPr>
          <w:rFonts w:asciiTheme="minorHAnsi" w:hAnsiTheme="minorHAnsi" w:cstheme="minorHAnsi"/>
          <w:lang w:val="fr-FR"/>
        </w:rPr>
        <w:t>M</w:t>
      </w:r>
      <w:r w:rsidR="0096674B" w:rsidRPr="006E2F26">
        <w:rPr>
          <w:rFonts w:asciiTheme="minorHAnsi" w:hAnsiTheme="minorHAnsi" w:cstheme="minorHAnsi"/>
          <w:lang w:val="fr-FR"/>
        </w:rPr>
        <w:t xml:space="preserve"> participait que ce soit lorsqu’il était sous statut d’indépendant ou statut salarié sont tout à fait comparable</w:t>
      </w:r>
      <w:r w:rsidRPr="006E2F26">
        <w:rPr>
          <w:rFonts w:asciiTheme="minorHAnsi" w:hAnsiTheme="minorHAnsi" w:cstheme="minorHAnsi"/>
          <w:lang w:val="fr-FR"/>
        </w:rPr>
        <w:t>s</w:t>
      </w:r>
      <w:r w:rsidR="0096674B" w:rsidRPr="006E2F26">
        <w:rPr>
          <w:rFonts w:asciiTheme="minorHAnsi" w:hAnsiTheme="minorHAnsi" w:cstheme="minorHAnsi"/>
          <w:lang w:val="fr-FR"/>
        </w:rPr>
        <w:t>.</w:t>
      </w:r>
      <w:r w:rsidR="00D87837" w:rsidRPr="006E2F26">
        <w:rPr>
          <w:rFonts w:asciiTheme="minorHAnsi" w:hAnsiTheme="minorHAnsi" w:cstheme="minorHAnsi"/>
          <w:bCs/>
          <w:color w:val="000000"/>
        </w:rPr>
        <w:tab/>
      </w:r>
      <w:r w:rsidR="009F6F92" w:rsidRPr="006E2F26">
        <w:rPr>
          <w:rFonts w:asciiTheme="minorHAnsi" w:hAnsiTheme="minorHAnsi" w:cstheme="minorHAnsi"/>
          <w:bCs/>
          <w:color w:val="000000"/>
        </w:rPr>
        <w:tab/>
      </w:r>
    </w:p>
    <w:p w14:paraId="2BC68B0C" w14:textId="77777777" w:rsidR="009F6F92" w:rsidRPr="006E2F26" w:rsidRDefault="009F6F92" w:rsidP="00987159">
      <w:p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bCs/>
          <w:color w:val="000000"/>
        </w:rPr>
      </w:pPr>
    </w:p>
    <w:p w14:paraId="7AD124F8" w14:textId="5A1B16EF" w:rsidR="00987159" w:rsidRPr="006E2F26" w:rsidRDefault="00987159" w:rsidP="00987159">
      <w:pPr>
        <w:pStyle w:val="Paragraphedeliste"/>
        <w:numPr>
          <w:ilvl w:val="0"/>
          <w:numId w:val="15"/>
        </w:num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bCs/>
          <w:color w:val="000000"/>
          <w:u w:val="single"/>
        </w:rPr>
      </w:pPr>
      <w:r w:rsidRPr="006E2F26">
        <w:rPr>
          <w:rFonts w:asciiTheme="minorHAnsi" w:hAnsiTheme="minorHAnsi" w:cstheme="minorHAnsi"/>
          <w:u w:val="single"/>
          <w:lang w:val="fr-FR"/>
        </w:rPr>
        <w:t xml:space="preserve">Concernant </w:t>
      </w:r>
      <w:r w:rsidRPr="006E2F26">
        <w:rPr>
          <w:rFonts w:asciiTheme="minorHAnsi" w:hAnsiTheme="minorHAnsi" w:cstheme="minorHAnsi"/>
          <w:bCs/>
          <w:color w:val="000000"/>
          <w:u w:val="single"/>
        </w:rPr>
        <w:t>la liberté d'organisation du travail</w:t>
      </w:r>
      <w:r w:rsidRPr="006E2F26">
        <w:rPr>
          <w:rFonts w:asciiTheme="minorHAnsi" w:hAnsiTheme="minorHAnsi" w:cstheme="minorHAnsi"/>
          <w:bCs/>
          <w:color w:val="000000"/>
        </w:rPr>
        <w:t>,</w:t>
      </w:r>
      <w:r w:rsidR="0096674B" w:rsidRPr="006E2F26">
        <w:rPr>
          <w:rFonts w:asciiTheme="minorHAnsi" w:hAnsiTheme="minorHAnsi" w:cstheme="minorHAnsi"/>
          <w:bCs/>
          <w:color w:val="000000"/>
        </w:rPr>
        <w:t xml:space="preserve"> </w:t>
      </w:r>
      <w:r w:rsidR="008C7B4A" w:rsidRPr="006E2F26">
        <w:rPr>
          <w:rFonts w:asciiTheme="minorHAnsi" w:hAnsiTheme="minorHAnsi" w:cstheme="minorHAnsi"/>
          <w:bCs/>
          <w:color w:val="000000"/>
        </w:rPr>
        <w:t>M.</w:t>
      </w:r>
      <w:r w:rsidR="00322265" w:rsidRPr="006E2F26">
        <w:rPr>
          <w:rFonts w:asciiTheme="minorHAnsi" w:hAnsiTheme="minorHAnsi" w:cstheme="minorHAnsi"/>
          <w:bCs/>
          <w:color w:val="000000"/>
        </w:rPr>
        <w:t xml:space="preserve"> </w:t>
      </w:r>
      <w:r w:rsidR="00961229">
        <w:rPr>
          <w:rFonts w:asciiTheme="minorHAnsi" w:hAnsiTheme="minorHAnsi" w:cstheme="minorHAnsi"/>
          <w:bCs/>
          <w:color w:val="000000"/>
        </w:rPr>
        <w:t>M</w:t>
      </w:r>
      <w:r w:rsidR="0096674B" w:rsidRPr="006E2F26">
        <w:rPr>
          <w:rFonts w:asciiTheme="minorHAnsi" w:hAnsiTheme="minorHAnsi" w:cstheme="minorHAnsi"/>
          <w:bCs/>
          <w:color w:val="000000"/>
        </w:rPr>
        <w:t xml:space="preserve"> affirme sans être contredit que les modalités de travail étaient fixées par la « Direction technique » composée du Président du conseil d’administration de l’A.S.B.L. et de son directeur général.</w:t>
      </w:r>
    </w:p>
    <w:p w14:paraId="44844796" w14:textId="77777777" w:rsidR="00D659D6" w:rsidRPr="006E2F26" w:rsidRDefault="00D659D6" w:rsidP="00D659D6">
      <w:pPr>
        <w:pStyle w:val="Paragraphedeliste"/>
        <w:tabs>
          <w:tab w:val="left" w:pos="-2834"/>
          <w:tab w:val="left" w:pos="-2114"/>
          <w:tab w:val="left" w:pos="-1394"/>
          <w:tab w:val="left" w:pos="1432"/>
        </w:tabs>
        <w:autoSpaceDE w:val="0"/>
        <w:adjustRightInd w:val="0"/>
        <w:spacing w:line="240" w:lineRule="atLeast"/>
        <w:ind w:left="360" w:right="1"/>
        <w:jc w:val="both"/>
        <w:rPr>
          <w:rFonts w:asciiTheme="minorHAnsi" w:hAnsiTheme="minorHAnsi" w:cstheme="minorHAnsi"/>
          <w:u w:val="single"/>
          <w:lang w:val="fr-FR"/>
        </w:rPr>
      </w:pPr>
    </w:p>
    <w:p w14:paraId="21BB2B52" w14:textId="77777777" w:rsidR="00D659D6" w:rsidRPr="006E2F26" w:rsidRDefault="00D659D6" w:rsidP="00D659D6">
      <w:pPr>
        <w:pStyle w:val="Paragraphedeliste"/>
        <w:tabs>
          <w:tab w:val="left" w:pos="-2834"/>
          <w:tab w:val="left" w:pos="-2114"/>
          <w:tab w:val="left" w:pos="-1394"/>
          <w:tab w:val="left" w:pos="1432"/>
        </w:tabs>
        <w:autoSpaceDE w:val="0"/>
        <w:adjustRightInd w:val="0"/>
        <w:spacing w:line="240" w:lineRule="atLeast"/>
        <w:ind w:left="360" w:right="1"/>
        <w:jc w:val="both"/>
        <w:rPr>
          <w:rFonts w:asciiTheme="minorHAnsi" w:hAnsiTheme="minorHAnsi" w:cstheme="minorHAnsi"/>
          <w:lang w:val="fr-FR"/>
        </w:rPr>
      </w:pPr>
      <w:r w:rsidRPr="006E2F26">
        <w:rPr>
          <w:rFonts w:asciiTheme="minorHAnsi" w:hAnsiTheme="minorHAnsi" w:cstheme="minorHAnsi"/>
          <w:lang w:val="fr-FR"/>
        </w:rPr>
        <w:t>Il ressort des différents éléments déposés</w:t>
      </w:r>
      <w:r w:rsidR="008D6246">
        <w:rPr>
          <w:rFonts w:asciiTheme="minorHAnsi" w:hAnsiTheme="minorHAnsi" w:cstheme="minorHAnsi"/>
          <w:lang w:val="fr-FR"/>
        </w:rPr>
        <w:t>,</w:t>
      </w:r>
      <w:r w:rsidRPr="006E2F26">
        <w:rPr>
          <w:rFonts w:asciiTheme="minorHAnsi" w:hAnsiTheme="minorHAnsi" w:cstheme="minorHAnsi"/>
          <w:lang w:val="fr-FR"/>
        </w:rPr>
        <w:t xml:space="preserve"> que son travail était effectivement fixé en fonction des entraînements, compétitions ou stages fixés par la Direction technique. </w:t>
      </w:r>
    </w:p>
    <w:p w14:paraId="2479BCDC" w14:textId="77777777" w:rsidR="007C550A" w:rsidRPr="006E2F26" w:rsidRDefault="007C550A" w:rsidP="00D659D6">
      <w:pPr>
        <w:pStyle w:val="Paragraphedeliste"/>
        <w:tabs>
          <w:tab w:val="left" w:pos="-2834"/>
          <w:tab w:val="left" w:pos="-2114"/>
          <w:tab w:val="left" w:pos="-1394"/>
          <w:tab w:val="left" w:pos="1432"/>
        </w:tabs>
        <w:autoSpaceDE w:val="0"/>
        <w:adjustRightInd w:val="0"/>
        <w:spacing w:line="240" w:lineRule="atLeast"/>
        <w:ind w:left="360" w:right="1"/>
        <w:jc w:val="both"/>
        <w:rPr>
          <w:rFonts w:asciiTheme="minorHAnsi" w:hAnsiTheme="minorHAnsi" w:cstheme="minorHAnsi"/>
          <w:lang w:val="fr-FR"/>
        </w:rPr>
      </w:pPr>
    </w:p>
    <w:p w14:paraId="6D4F161E" w14:textId="77777777" w:rsidR="007C550A" w:rsidRPr="006E2F26" w:rsidRDefault="00322265" w:rsidP="00D659D6">
      <w:pPr>
        <w:pStyle w:val="Paragraphedeliste"/>
        <w:tabs>
          <w:tab w:val="left" w:pos="-2834"/>
          <w:tab w:val="left" w:pos="-2114"/>
          <w:tab w:val="left" w:pos="-1394"/>
          <w:tab w:val="left" w:pos="1432"/>
        </w:tabs>
        <w:autoSpaceDE w:val="0"/>
        <w:adjustRightInd w:val="0"/>
        <w:spacing w:line="240" w:lineRule="atLeast"/>
        <w:ind w:left="360" w:right="1"/>
        <w:jc w:val="both"/>
        <w:rPr>
          <w:rFonts w:asciiTheme="minorHAnsi" w:hAnsiTheme="minorHAnsi" w:cstheme="minorHAnsi"/>
          <w:lang w:val="fr-FR"/>
        </w:rPr>
      </w:pPr>
      <w:r w:rsidRPr="006E2F26">
        <w:rPr>
          <w:rFonts w:asciiTheme="minorHAnsi" w:hAnsiTheme="minorHAnsi" w:cstheme="minorHAnsi"/>
          <w:lang w:val="fr-FR"/>
        </w:rPr>
        <w:t>L’A.S.B.L.</w:t>
      </w:r>
      <w:r w:rsidR="007C550A" w:rsidRPr="006E2F26">
        <w:rPr>
          <w:rFonts w:asciiTheme="minorHAnsi" w:hAnsiTheme="minorHAnsi" w:cstheme="minorHAnsi"/>
          <w:lang w:val="fr-FR"/>
        </w:rPr>
        <w:t xml:space="preserve"> le précise d’ailleurs en termes de conclusions lorsqu’elle dit qu’ « </w:t>
      </w:r>
      <w:r w:rsidR="007C550A" w:rsidRPr="006E2F26">
        <w:rPr>
          <w:rFonts w:asciiTheme="minorHAnsi" w:hAnsiTheme="minorHAnsi" w:cstheme="minorHAnsi"/>
          <w:i/>
          <w:lang w:val="fr-FR"/>
        </w:rPr>
        <w:t>elle se bornait à répartir les prestations entre les différents centres d’entrainement, suivant un planning établi par la Direction technique </w:t>
      </w:r>
      <w:r w:rsidR="007C550A" w:rsidRPr="006E2F26">
        <w:rPr>
          <w:rFonts w:asciiTheme="minorHAnsi" w:hAnsiTheme="minorHAnsi" w:cstheme="minorHAnsi"/>
          <w:lang w:val="fr-FR"/>
        </w:rPr>
        <w:t xml:space="preserve">».  </w:t>
      </w:r>
      <w:r w:rsidR="00250BE7" w:rsidRPr="006E2F26">
        <w:rPr>
          <w:rFonts w:asciiTheme="minorHAnsi" w:hAnsiTheme="minorHAnsi" w:cstheme="minorHAnsi"/>
          <w:lang w:val="fr-FR"/>
        </w:rPr>
        <w:t>C’est d’ailleurs ce qui est écrit dans la convention de prestation de services.</w:t>
      </w:r>
    </w:p>
    <w:p w14:paraId="0E1060B5" w14:textId="77777777" w:rsidR="007C550A" w:rsidRPr="006E2F26" w:rsidRDefault="007C550A" w:rsidP="00D659D6">
      <w:pPr>
        <w:pStyle w:val="Paragraphedeliste"/>
        <w:tabs>
          <w:tab w:val="left" w:pos="-2834"/>
          <w:tab w:val="left" w:pos="-2114"/>
          <w:tab w:val="left" w:pos="-1394"/>
          <w:tab w:val="left" w:pos="1432"/>
        </w:tabs>
        <w:autoSpaceDE w:val="0"/>
        <w:adjustRightInd w:val="0"/>
        <w:spacing w:line="240" w:lineRule="atLeast"/>
        <w:ind w:left="360" w:right="1"/>
        <w:jc w:val="both"/>
        <w:rPr>
          <w:rFonts w:asciiTheme="minorHAnsi" w:hAnsiTheme="minorHAnsi" w:cstheme="minorHAnsi"/>
          <w:lang w:val="fr-FR"/>
        </w:rPr>
      </w:pPr>
    </w:p>
    <w:p w14:paraId="255AB122" w14:textId="5DEB6F6B" w:rsidR="007C550A" w:rsidRPr="006E2F26" w:rsidRDefault="007C550A" w:rsidP="00D659D6">
      <w:pPr>
        <w:pStyle w:val="Paragraphedeliste"/>
        <w:tabs>
          <w:tab w:val="left" w:pos="-2834"/>
          <w:tab w:val="left" w:pos="-2114"/>
          <w:tab w:val="left" w:pos="-1394"/>
          <w:tab w:val="left" w:pos="1432"/>
        </w:tabs>
        <w:autoSpaceDE w:val="0"/>
        <w:adjustRightInd w:val="0"/>
        <w:spacing w:line="240" w:lineRule="atLeast"/>
        <w:ind w:left="360" w:right="1"/>
        <w:jc w:val="both"/>
        <w:rPr>
          <w:rFonts w:asciiTheme="minorHAnsi" w:hAnsiTheme="minorHAnsi" w:cstheme="minorHAnsi"/>
          <w:bCs/>
          <w:color w:val="000000"/>
        </w:rPr>
      </w:pPr>
      <w:r w:rsidRPr="006E2F26">
        <w:rPr>
          <w:rFonts w:asciiTheme="minorHAnsi" w:hAnsiTheme="minorHAnsi" w:cstheme="minorHAnsi"/>
          <w:lang w:val="fr-FR"/>
        </w:rPr>
        <w:t xml:space="preserve">L’organisation du temps de travail et du travail était donc bien établie par la Direction technique de l’A.S.B.L. pour </w:t>
      </w:r>
      <w:r w:rsidR="008C7B4A" w:rsidRPr="006E2F26">
        <w:rPr>
          <w:rFonts w:asciiTheme="minorHAnsi" w:hAnsiTheme="minorHAnsi" w:cstheme="minorHAnsi"/>
          <w:lang w:val="fr-FR"/>
        </w:rPr>
        <w:t>M.</w:t>
      </w:r>
      <w:r w:rsidR="00322265" w:rsidRPr="006E2F26">
        <w:rPr>
          <w:rFonts w:asciiTheme="minorHAnsi" w:hAnsiTheme="minorHAnsi" w:cstheme="minorHAnsi"/>
          <w:lang w:val="fr-FR"/>
        </w:rPr>
        <w:t xml:space="preserve"> </w:t>
      </w:r>
      <w:r w:rsidR="00961229">
        <w:rPr>
          <w:rFonts w:asciiTheme="minorHAnsi" w:hAnsiTheme="minorHAnsi" w:cstheme="minorHAnsi"/>
          <w:lang w:val="fr-FR"/>
        </w:rPr>
        <w:t>M</w:t>
      </w:r>
      <w:r w:rsidRPr="006E2F26">
        <w:rPr>
          <w:rFonts w:asciiTheme="minorHAnsi" w:hAnsiTheme="minorHAnsi" w:cstheme="minorHAnsi"/>
          <w:lang w:val="fr-FR"/>
        </w:rPr>
        <w:t xml:space="preserve"> dès 2011.</w:t>
      </w:r>
    </w:p>
    <w:p w14:paraId="234A33BB" w14:textId="77777777" w:rsidR="00987159" w:rsidRPr="006E2F26" w:rsidRDefault="00987159" w:rsidP="00987159">
      <w:p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bCs/>
          <w:color w:val="000000"/>
        </w:rPr>
      </w:pPr>
    </w:p>
    <w:p w14:paraId="70AF4042" w14:textId="21C80D35" w:rsidR="00D659D6" w:rsidRPr="006E2F26" w:rsidRDefault="003115E9" w:rsidP="00D659D6">
      <w:pPr>
        <w:pStyle w:val="Paragraphedeliste"/>
        <w:numPr>
          <w:ilvl w:val="0"/>
          <w:numId w:val="15"/>
        </w:num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lang w:val="fr-FR"/>
        </w:rPr>
      </w:pPr>
      <w:r w:rsidRPr="006E2F26">
        <w:rPr>
          <w:rFonts w:asciiTheme="minorHAnsi" w:hAnsiTheme="minorHAnsi" w:cstheme="minorHAnsi"/>
          <w:u w:val="single"/>
          <w:lang w:val="fr-FR"/>
        </w:rPr>
        <w:t>Concernant la possibilité d’exercer un contrôle hiérarchique,</w:t>
      </w:r>
      <w:r w:rsidRPr="006E2F26">
        <w:rPr>
          <w:rFonts w:asciiTheme="minorHAnsi" w:hAnsiTheme="minorHAnsi" w:cstheme="minorHAnsi"/>
          <w:lang w:val="fr-FR"/>
        </w:rPr>
        <w:t xml:space="preserve"> </w:t>
      </w:r>
      <w:r w:rsidR="008C7B4A" w:rsidRPr="006E2F26">
        <w:rPr>
          <w:rFonts w:asciiTheme="minorHAnsi" w:hAnsiTheme="minorHAnsi" w:cstheme="minorHAnsi"/>
          <w:lang w:val="fr-FR"/>
        </w:rPr>
        <w:t>M.</w:t>
      </w:r>
      <w:r w:rsidR="00322265" w:rsidRPr="006E2F26">
        <w:rPr>
          <w:rFonts w:asciiTheme="minorHAnsi" w:hAnsiTheme="minorHAnsi" w:cstheme="minorHAnsi"/>
          <w:lang w:val="fr-FR"/>
        </w:rPr>
        <w:t xml:space="preserve"> </w:t>
      </w:r>
      <w:r w:rsidR="00961229">
        <w:rPr>
          <w:rFonts w:asciiTheme="minorHAnsi" w:hAnsiTheme="minorHAnsi" w:cstheme="minorHAnsi"/>
          <w:lang w:val="fr-FR"/>
        </w:rPr>
        <w:t>M</w:t>
      </w:r>
      <w:r w:rsidR="00D659D6" w:rsidRPr="006E2F26">
        <w:rPr>
          <w:rFonts w:asciiTheme="minorHAnsi" w:hAnsiTheme="minorHAnsi" w:cstheme="minorHAnsi"/>
          <w:lang w:val="fr-FR"/>
        </w:rPr>
        <w:t xml:space="preserve"> expose qu’un véritable contrôle hiérarchique était exercé par l’A.S.B.L. à son égard qui avait le pouvoir de lui donner des </w:t>
      </w:r>
      <w:r w:rsidR="00EA1534" w:rsidRPr="006E2F26">
        <w:rPr>
          <w:rFonts w:asciiTheme="minorHAnsi" w:hAnsiTheme="minorHAnsi" w:cstheme="minorHAnsi"/>
          <w:lang w:val="fr-FR"/>
        </w:rPr>
        <w:t>ordres</w:t>
      </w:r>
      <w:r w:rsidR="00D659D6" w:rsidRPr="006E2F26">
        <w:rPr>
          <w:rFonts w:asciiTheme="minorHAnsi" w:hAnsiTheme="minorHAnsi" w:cstheme="minorHAnsi"/>
          <w:lang w:val="fr-FR"/>
        </w:rPr>
        <w:t xml:space="preserve"> et d’en contrôler le respect.</w:t>
      </w:r>
      <w:r w:rsidR="00D659D6" w:rsidRPr="006E2F26">
        <w:rPr>
          <w:rFonts w:asciiTheme="minorHAnsi" w:hAnsiTheme="minorHAnsi" w:cstheme="minorHAnsi"/>
          <w:lang w:val="fr-FR"/>
        </w:rPr>
        <w:tab/>
      </w:r>
    </w:p>
    <w:p w14:paraId="0E410E14" w14:textId="77777777" w:rsidR="00D659D6" w:rsidRPr="006E2F26" w:rsidRDefault="00D659D6" w:rsidP="00D659D6">
      <w:pPr>
        <w:pStyle w:val="Paragraphedeliste"/>
        <w:tabs>
          <w:tab w:val="left" w:pos="-2834"/>
          <w:tab w:val="left" w:pos="-2114"/>
          <w:tab w:val="left" w:pos="-1394"/>
          <w:tab w:val="left" w:pos="1432"/>
        </w:tabs>
        <w:autoSpaceDE w:val="0"/>
        <w:adjustRightInd w:val="0"/>
        <w:spacing w:line="240" w:lineRule="atLeast"/>
        <w:ind w:left="360" w:right="1"/>
        <w:jc w:val="both"/>
        <w:rPr>
          <w:rFonts w:asciiTheme="minorHAnsi" w:hAnsiTheme="minorHAnsi" w:cstheme="minorHAnsi"/>
          <w:lang w:val="fr-FR"/>
        </w:rPr>
      </w:pPr>
    </w:p>
    <w:p w14:paraId="70C5D088" w14:textId="71320C7C" w:rsidR="00D659D6" w:rsidRPr="006E2F26" w:rsidRDefault="00D659D6" w:rsidP="00D659D6">
      <w:pPr>
        <w:pStyle w:val="Paragraphedeliste"/>
        <w:tabs>
          <w:tab w:val="left" w:pos="-2834"/>
          <w:tab w:val="left" w:pos="-2114"/>
          <w:tab w:val="left" w:pos="-1394"/>
          <w:tab w:val="left" w:pos="1432"/>
        </w:tabs>
        <w:autoSpaceDE w:val="0"/>
        <w:adjustRightInd w:val="0"/>
        <w:spacing w:line="240" w:lineRule="atLeast"/>
        <w:ind w:left="360" w:right="1"/>
        <w:jc w:val="both"/>
        <w:rPr>
          <w:rFonts w:asciiTheme="minorHAnsi" w:hAnsiTheme="minorHAnsi" w:cstheme="minorHAnsi"/>
          <w:lang w:val="fr-FR"/>
        </w:rPr>
      </w:pPr>
      <w:r w:rsidRPr="006E2F26">
        <w:rPr>
          <w:rFonts w:asciiTheme="minorHAnsi" w:hAnsiTheme="minorHAnsi" w:cstheme="minorHAnsi"/>
          <w:lang w:val="fr-FR"/>
        </w:rPr>
        <w:t>Cet élément ressort notamment de la description de</w:t>
      </w:r>
      <w:r w:rsidR="00F13596" w:rsidRPr="006E2F26">
        <w:rPr>
          <w:rFonts w:asciiTheme="minorHAnsi" w:hAnsiTheme="minorHAnsi" w:cstheme="minorHAnsi"/>
          <w:lang w:val="fr-FR"/>
        </w:rPr>
        <w:t>s</w:t>
      </w:r>
      <w:r w:rsidRPr="006E2F26">
        <w:rPr>
          <w:rFonts w:asciiTheme="minorHAnsi" w:hAnsiTheme="minorHAnsi" w:cstheme="minorHAnsi"/>
          <w:lang w:val="fr-FR"/>
        </w:rPr>
        <w:t xml:space="preserve"> </w:t>
      </w:r>
      <w:r w:rsidR="00EA1534" w:rsidRPr="006E2F26">
        <w:rPr>
          <w:rFonts w:asciiTheme="minorHAnsi" w:hAnsiTheme="minorHAnsi" w:cstheme="minorHAnsi"/>
          <w:lang w:val="fr-FR"/>
        </w:rPr>
        <w:t>fonctions</w:t>
      </w:r>
      <w:r w:rsidRPr="006E2F26">
        <w:rPr>
          <w:rFonts w:asciiTheme="minorHAnsi" w:hAnsiTheme="minorHAnsi" w:cstheme="minorHAnsi"/>
          <w:lang w:val="fr-FR"/>
        </w:rPr>
        <w:t xml:space="preserve"> de </w:t>
      </w:r>
      <w:r w:rsidR="008C7B4A" w:rsidRPr="006E2F26">
        <w:rPr>
          <w:rFonts w:asciiTheme="minorHAnsi" w:hAnsiTheme="minorHAnsi" w:cstheme="minorHAnsi"/>
          <w:lang w:val="fr-FR"/>
        </w:rPr>
        <w:t>M.</w:t>
      </w:r>
      <w:r w:rsidR="00322265" w:rsidRPr="006E2F26">
        <w:rPr>
          <w:rFonts w:asciiTheme="minorHAnsi" w:hAnsiTheme="minorHAnsi" w:cstheme="minorHAnsi"/>
          <w:lang w:val="fr-FR"/>
        </w:rPr>
        <w:t xml:space="preserve"> </w:t>
      </w:r>
      <w:r w:rsidR="00961229">
        <w:rPr>
          <w:rFonts w:asciiTheme="minorHAnsi" w:hAnsiTheme="minorHAnsi" w:cstheme="minorHAnsi"/>
          <w:lang w:val="fr-FR"/>
        </w:rPr>
        <w:t>M</w:t>
      </w:r>
      <w:r w:rsidR="00F13596" w:rsidRPr="006E2F26">
        <w:rPr>
          <w:rFonts w:asciiTheme="minorHAnsi" w:hAnsiTheme="minorHAnsi" w:cstheme="minorHAnsi"/>
          <w:lang w:val="fr-FR"/>
        </w:rPr>
        <w:t>,</w:t>
      </w:r>
      <w:r w:rsidRPr="006E2F26">
        <w:rPr>
          <w:rFonts w:asciiTheme="minorHAnsi" w:hAnsiTheme="minorHAnsi" w:cstheme="minorHAnsi"/>
          <w:lang w:val="fr-FR"/>
        </w:rPr>
        <w:t xml:space="preserve"> précisées suite à une réunion du 29 août 2012. </w:t>
      </w:r>
      <w:r w:rsidR="007C550A" w:rsidRPr="006E2F26">
        <w:rPr>
          <w:rFonts w:asciiTheme="minorHAnsi" w:hAnsiTheme="minorHAnsi" w:cstheme="minorHAnsi"/>
          <w:lang w:val="fr-FR"/>
        </w:rPr>
        <w:t xml:space="preserve">Différentes </w:t>
      </w:r>
      <w:r w:rsidRPr="006E2F26">
        <w:rPr>
          <w:rFonts w:asciiTheme="minorHAnsi" w:hAnsiTheme="minorHAnsi" w:cstheme="minorHAnsi"/>
          <w:lang w:val="fr-FR"/>
        </w:rPr>
        <w:t xml:space="preserve">charges lui sont </w:t>
      </w:r>
      <w:r w:rsidR="007C550A" w:rsidRPr="006E2F26">
        <w:rPr>
          <w:rFonts w:asciiTheme="minorHAnsi" w:hAnsiTheme="minorHAnsi" w:cstheme="minorHAnsi"/>
          <w:lang w:val="fr-FR"/>
        </w:rPr>
        <w:t>imposées par l’A.S.B.L.</w:t>
      </w:r>
      <w:r w:rsidRPr="006E2F26">
        <w:rPr>
          <w:rFonts w:asciiTheme="minorHAnsi" w:hAnsiTheme="minorHAnsi" w:cstheme="minorHAnsi"/>
          <w:lang w:val="fr-FR"/>
        </w:rPr>
        <w:t xml:space="preserve">, comme de participer aux réunions, de coordonner </w:t>
      </w:r>
      <w:r w:rsidR="007C550A" w:rsidRPr="006E2F26">
        <w:rPr>
          <w:rFonts w:asciiTheme="minorHAnsi" w:hAnsiTheme="minorHAnsi" w:cstheme="minorHAnsi"/>
          <w:lang w:val="fr-FR"/>
        </w:rPr>
        <w:t xml:space="preserve">les centres provinciaux en veillant à leur bon fonctionnement, d’accompagner les jeunes lors des compétitions en Belgique et à l’étranger. </w:t>
      </w:r>
    </w:p>
    <w:p w14:paraId="6FDDE53E" w14:textId="77777777" w:rsidR="003115E9" w:rsidRPr="006E2F26" w:rsidRDefault="003115E9" w:rsidP="003115E9">
      <w:pPr>
        <w:pStyle w:val="Paragraphedeliste"/>
        <w:rPr>
          <w:rFonts w:asciiTheme="minorHAnsi" w:hAnsiTheme="minorHAnsi" w:cstheme="minorHAnsi"/>
          <w:lang w:val="fr-FR"/>
        </w:rPr>
      </w:pPr>
    </w:p>
    <w:p w14:paraId="2EB074D5" w14:textId="77777777" w:rsidR="00D717A8" w:rsidRPr="006E2F26" w:rsidRDefault="007C550A" w:rsidP="00D717A8">
      <w:p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lang w:val="fr-FR"/>
        </w:rPr>
      </w:pPr>
      <w:r w:rsidRPr="006E2F26">
        <w:rPr>
          <w:rFonts w:asciiTheme="minorHAnsi" w:hAnsiTheme="minorHAnsi" w:cstheme="minorHAnsi"/>
          <w:lang w:val="fr-FR"/>
        </w:rPr>
        <w:t xml:space="preserve">En outre, </w:t>
      </w:r>
      <w:r w:rsidR="004155A5" w:rsidRPr="006E2F26">
        <w:rPr>
          <w:rFonts w:asciiTheme="minorHAnsi" w:hAnsiTheme="minorHAnsi" w:cstheme="minorHAnsi"/>
          <w:lang w:val="fr-FR"/>
        </w:rPr>
        <w:t xml:space="preserve">les deux conventions étaient tout à fait semblables. </w:t>
      </w:r>
      <w:r w:rsidR="00322265" w:rsidRPr="006E2F26">
        <w:rPr>
          <w:rFonts w:asciiTheme="minorHAnsi" w:hAnsiTheme="minorHAnsi" w:cstheme="minorHAnsi"/>
          <w:lang w:val="fr-FR"/>
        </w:rPr>
        <w:t>L’A.S.B.L.</w:t>
      </w:r>
      <w:r w:rsidR="004155A5" w:rsidRPr="006E2F26">
        <w:rPr>
          <w:rFonts w:asciiTheme="minorHAnsi" w:hAnsiTheme="minorHAnsi" w:cstheme="minorHAnsi"/>
          <w:lang w:val="fr-FR"/>
        </w:rPr>
        <w:t xml:space="preserve"> considère d’ailleurs que « </w:t>
      </w:r>
      <w:r w:rsidR="004155A5" w:rsidRPr="006E2F26">
        <w:rPr>
          <w:rFonts w:asciiTheme="minorHAnsi" w:hAnsiTheme="minorHAnsi" w:cstheme="minorHAnsi"/>
          <w:i/>
          <w:lang w:val="fr-FR"/>
        </w:rPr>
        <w:t>si les fonctions exercées prévues dans les deux conventions semblent semblables, de prime abord, elles ne sont pas identiques </w:t>
      </w:r>
      <w:r w:rsidR="004155A5" w:rsidRPr="006E2F26">
        <w:rPr>
          <w:rFonts w:asciiTheme="minorHAnsi" w:hAnsiTheme="minorHAnsi" w:cstheme="minorHAnsi"/>
          <w:lang w:val="fr-FR"/>
        </w:rPr>
        <w:t>». Elle échoue toutefois à démontrer ces différences.</w:t>
      </w:r>
    </w:p>
    <w:p w14:paraId="427EEC37" w14:textId="77777777" w:rsidR="004155A5" w:rsidRPr="006E2F26" w:rsidRDefault="004155A5" w:rsidP="00D717A8">
      <w:p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lang w:val="fr-FR"/>
        </w:rPr>
      </w:pPr>
    </w:p>
    <w:p w14:paraId="1A38D5D8" w14:textId="1BA06293" w:rsidR="004155A5" w:rsidRPr="006E2F26" w:rsidRDefault="004155A5" w:rsidP="00D717A8">
      <w:p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lang w:val="fr-FR"/>
        </w:rPr>
      </w:pPr>
      <w:r w:rsidRPr="006E2F26">
        <w:rPr>
          <w:rFonts w:asciiTheme="minorHAnsi" w:hAnsiTheme="minorHAnsi" w:cstheme="minorHAnsi"/>
          <w:lang w:val="fr-FR"/>
        </w:rPr>
        <w:t xml:space="preserve">Elle soutient en effet que selon le contrat de travail, </w:t>
      </w:r>
      <w:r w:rsidR="008C7B4A" w:rsidRPr="006E2F26">
        <w:rPr>
          <w:rFonts w:asciiTheme="minorHAnsi" w:hAnsiTheme="minorHAnsi" w:cstheme="minorHAnsi"/>
          <w:lang w:val="fr-FR"/>
        </w:rPr>
        <w:t>M.</w:t>
      </w:r>
      <w:r w:rsidR="00322265" w:rsidRPr="006E2F26">
        <w:rPr>
          <w:rFonts w:asciiTheme="minorHAnsi" w:hAnsiTheme="minorHAnsi" w:cstheme="minorHAnsi"/>
          <w:lang w:val="fr-FR"/>
        </w:rPr>
        <w:t xml:space="preserve"> </w:t>
      </w:r>
      <w:r w:rsidR="00961229">
        <w:rPr>
          <w:rFonts w:asciiTheme="minorHAnsi" w:hAnsiTheme="minorHAnsi" w:cstheme="minorHAnsi"/>
          <w:lang w:val="fr-FR"/>
        </w:rPr>
        <w:t>M</w:t>
      </w:r>
      <w:r w:rsidRPr="006E2F26">
        <w:rPr>
          <w:rFonts w:asciiTheme="minorHAnsi" w:hAnsiTheme="minorHAnsi" w:cstheme="minorHAnsi"/>
          <w:lang w:val="fr-FR"/>
        </w:rPr>
        <w:t xml:space="preserve"> pouvait également exercer ses prestations à l’étranger, en fonction de compétitions internationales. Or, </w:t>
      </w:r>
      <w:r w:rsidR="00E809D8" w:rsidRPr="006E2F26">
        <w:rPr>
          <w:rFonts w:asciiTheme="minorHAnsi" w:hAnsiTheme="minorHAnsi" w:cstheme="minorHAnsi"/>
          <w:lang w:val="fr-FR"/>
        </w:rPr>
        <w:t xml:space="preserve">il ressort des pièces déposées par </w:t>
      </w:r>
      <w:r w:rsidR="008C7B4A" w:rsidRPr="006E2F26">
        <w:rPr>
          <w:rFonts w:asciiTheme="minorHAnsi" w:hAnsiTheme="minorHAnsi" w:cstheme="minorHAnsi"/>
          <w:lang w:val="fr-FR"/>
        </w:rPr>
        <w:t>M.</w:t>
      </w:r>
      <w:r w:rsidR="00322265" w:rsidRPr="006E2F26">
        <w:rPr>
          <w:rFonts w:asciiTheme="minorHAnsi" w:hAnsiTheme="minorHAnsi" w:cstheme="minorHAnsi"/>
          <w:lang w:val="fr-FR"/>
        </w:rPr>
        <w:t xml:space="preserve"> </w:t>
      </w:r>
      <w:r w:rsidR="00961229">
        <w:rPr>
          <w:rFonts w:asciiTheme="minorHAnsi" w:hAnsiTheme="minorHAnsi" w:cstheme="minorHAnsi"/>
          <w:lang w:val="fr-FR"/>
        </w:rPr>
        <w:t>M</w:t>
      </w:r>
      <w:r w:rsidR="00E809D8" w:rsidRPr="006E2F26">
        <w:rPr>
          <w:rFonts w:asciiTheme="minorHAnsi" w:hAnsiTheme="minorHAnsi" w:cstheme="minorHAnsi"/>
          <w:lang w:val="fr-FR"/>
        </w:rPr>
        <w:t xml:space="preserve"> que c’était déjà le cas avant 2016 (on lit notamment une participation à l’ITTF Eur</w:t>
      </w:r>
      <w:r w:rsidR="0037781E" w:rsidRPr="006E2F26">
        <w:rPr>
          <w:rFonts w:asciiTheme="minorHAnsi" w:hAnsiTheme="minorHAnsi" w:cstheme="minorHAnsi"/>
          <w:lang w:val="fr-FR"/>
        </w:rPr>
        <w:t>o</w:t>
      </w:r>
      <w:r w:rsidR="00E809D8" w:rsidRPr="006E2F26">
        <w:rPr>
          <w:rFonts w:asciiTheme="minorHAnsi" w:hAnsiTheme="minorHAnsi" w:cstheme="minorHAnsi"/>
          <w:lang w:val="fr-FR"/>
        </w:rPr>
        <w:t xml:space="preserve"> </w:t>
      </w:r>
      <w:proofErr w:type="spellStart"/>
      <w:r w:rsidR="00E809D8" w:rsidRPr="006E2F26">
        <w:rPr>
          <w:rFonts w:asciiTheme="minorHAnsi" w:hAnsiTheme="minorHAnsi" w:cstheme="minorHAnsi"/>
          <w:lang w:val="fr-FR"/>
        </w:rPr>
        <w:t>Africa</w:t>
      </w:r>
      <w:proofErr w:type="spellEnd"/>
      <w:r w:rsidR="00E809D8" w:rsidRPr="006E2F26">
        <w:rPr>
          <w:rFonts w:asciiTheme="minorHAnsi" w:hAnsiTheme="minorHAnsi" w:cstheme="minorHAnsi"/>
          <w:lang w:val="fr-FR"/>
        </w:rPr>
        <w:t xml:space="preserve"> Circuit</w:t>
      </w:r>
      <w:r w:rsidR="00D01F29" w:rsidRPr="006E2F26">
        <w:rPr>
          <w:rFonts w:asciiTheme="minorHAnsi" w:hAnsiTheme="minorHAnsi" w:cstheme="minorHAnsi"/>
          <w:lang w:val="fr-FR"/>
        </w:rPr>
        <w:t xml:space="preserve"> ayant eu lieu en Espagne</w:t>
      </w:r>
      <w:r w:rsidR="00E809D8" w:rsidRPr="006E2F26">
        <w:rPr>
          <w:rFonts w:asciiTheme="minorHAnsi" w:hAnsiTheme="minorHAnsi" w:cstheme="minorHAnsi"/>
          <w:lang w:val="fr-FR"/>
        </w:rPr>
        <w:t xml:space="preserve"> en 2013, </w:t>
      </w:r>
      <w:r w:rsidR="00D01F29" w:rsidRPr="006E2F26">
        <w:rPr>
          <w:rFonts w:asciiTheme="minorHAnsi" w:hAnsiTheme="minorHAnsi" w:cstheme="minorHAnsi"/>
          <w:lang w:val="fr-FR"/>
        </w:rPr>
        <w:t>les championnats d’Europe de jeunes en juillet 2013 en République Tchèque, l’ITTF JC d’Espagne en 2014,…).</w:t>
      </w:r>
    </w:p>
    <w:p w14:paraId="11708D79" w14:textId="77777777" w:rsidR="00475C95" w:rsidRPr="006E2F26" w:rsidRDefault="00475C95" w:rsidP="00D717A8">
      <w:p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lang w:val="fr-FR"/>
        </w:rPr>
      </w:pPr>
    </w:p>
    <w:p w14:paraId="25F011CE" w14:textId="77777777" w:rsidR="002F6CA2" w:rsidRDefault="002F6CA2" w:rsidP="00D717A8">
      <w:p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lang w:val="fr-FR"/>
        </w:rPr>
      </w:pPr>
    </w:p>
    <w:p w14:paraId="05E7E42E" w14:textId="77777777" w:rsidR="00475C95" w:rsidRPr="006E2F26" w:rsidRDefault="00475C95" w:rsidP="00D717A8">
      <w:p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lang w:val="fr-FR"/>
        </w:rPr>
      </w:pPr>
      <w:r w:rsidRPr="006E2F26">
        <w:rPr>
          <w:rFonts w:asciiTheme="minorHAnsi" w:hAnsiTheme="minorHAnsi" w:cstheme="minorHAnsi"/>
          <w:lang w:val="fr-FR"/>
        </w:rPr>
        <w:t>Selon elle, le nombre de jours presté</w:t>
      </w:r>
      <w:r w:rsidR="002C0588">
        <w:rPr>
          <w:rFonts w:asciiTheme="minorHAnsi" w:hAnsiTheme="minorHAnsi" w:cstheme="minorHAnsi"/>
          <w:lang w:val="fr-FR"/>
        </w:rPr>
        <w:t>s</w:t>
      </w:r>
      <w:r w:rsidRPr="006E2F26">
        <w:rPr>
          <w:rFonts w:asciiTheme="minorHAnsi" w:hAnsiTheme="minorHAnsi" w:cstheme="minorHAnsi"/>
          <w:lang w:val="fr-FR"/>
        </w:rPr>
        <w:t xml:space="preserve"> dans le cadre de la convention de services ne pouvait dépasser 180 jours. Or, il ressort de ce qui a déjà été dit que ce nombre était </w:t>
      </w:r>
      <w:r w:rsidRPr="006E2F26">
        <w:rPr>
          <w:rFonts w:asciiTheme="minorHAnsi" w:hAnsiTheme="minorHAnsi" w:cstheme="minorHAnsi"/>
          <w:lang w:val="fr-FR"/>
        </w:rPr>
        <w:lastRenderedPageBreak/>
        <w:t xml:space="preserve">passé à 240 jours, considéré même par </w:t>
      </w:r>
      <w:r w:rsidR="002C0588">
        <w:rPr>
          <w:rFonts w:asciiTheme="minorHAnsi" w:hAnsiTheme="minorHAnsi" w:cstheme="minorHAnsi"/>
          <w:lang w:val="fr-FR"/>
        </w:rPr>
        <w:t>l</w:t>
      </w:r>
      <w:r w:rsidR="00322265" w:rsidRPr="006E2F26">
        <w:rPr>
          <w:rFonts w:asciiTheme="minorHAnsi" w:hAnsiTheme="minorHAnsi" w:cstheme="minorHAnsi"/>
          <w:lang w:val="fr-FR"/>
        </w:rPr>
        <w:t>’A.S.B.L.</w:t>
      </w:r>
      <w:r w:rsidRPr="006E2F26">
        <w:rPr>
          <w:rFonts w:asciiTheme="minorHAnsi" w:hAnsiTheme="minorHAnsi" w:cstheme="minorHAnsi"/>
          <w:lang w:val="fr-FR"/>
        </w:rPr>
        <w:t xml:space="preserve"> comme « </w:t>
      </w:r>
      <w:r w:rsidRPr="006E2F26">
        <w:rPr>
          <w:rFonts w:asciiTheme="minorHAnsi" w:hAnsiTheme="minorHAnsi" w:cstheme="minorHAnsi"/>
          <w:i/>
          <w:lang w:val="fr-FR"/>
        </w:rPr>
        <w:t>un temps plein</w:t>
      </w:r>
      <w:r w:rsidRPr="006E2F26">
        <w:rPr>
          <w:rFonts w:asciiTheme="minorHAnsi" w:hAnsiTheme="minorHAnsi" w:cstheme="minorHAnsi"/>
          <w:lang w:val="fr-FR"/>
        </w:rPr>
        <w:t xml:space="preserve"> ». </w:t>
      </w:r>
    </w:p>
    <w:p w14:paraId="2C29721C" w14:textId="77777777" w:rsidR="00ED0FD2" w:rsidRPr="006E2F26" w:rsidRDefault="00ED0FD2" w:rsidP="00D717A8">
      <w:p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lang w:val="fr-FR"/>
        </w:rPr>
      </w:pPr>
    </w:p>
    <w:p w14:paraId="4D0B54E4" w14:textId="56FC7E68" w:rsidR="00ED0FD2" w:rsidRPr="006E2F26" w:rsidRDefault="00ED0FD2" w:rsidP="00D717A8">
      <w:p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lang w:val="fr-FR"/>
        </w:rPr>
      </w:pPr>
      <w:r w:rsidRPr="006E2F26">
        <w:rPr>
          <w:rFonts w:asciiTheme="minorHAnsi" w:hAnsiTheme="minorHAnsi" w:cstheme="minorHAnsi"/>
          <w:lang w:val="fr-FR"/>
        </w:rPr>
        <w:t xml:space="preserve">Les autres différences que </w:t>
      </w:r>
      <w:r w:rsidR="002C0588">
        <w:rPr>
          <w:rFonts w:asciiTheme="minorHAnsi" w:hAnsiTheme="minorHAnsi" w:cstheme="minorHAnsi"/>
          <w:lang w:val="fr-FR"/>
        </w:rPr>
        <w:t>l</w:t>
      </w:r>
      <w:r w:rsidR="00322265" w:rsidRPr="006E2F26">
        <w:rPr>
          <w:rFonts w:asciiTheme="minorHAnsi" w:hAnsiTheme="minorHAnsi" w:cstheme="minorHAnsi"/>
          <w:lang w:val="fr-FR"/>
        </w:rPr>
        <w:t>’A.S.B.L.</w:t>
      </w:r>
      <w:r w:rsidRPr="006E2F26">
        <w:rPr>
          <w:rFonts w:asciiTheme="minorHAnsi" w:hAnsiTheme="minorHAnsi" w:cstheme="minorHAnsi"/>
          <w:lang w:val="fr-FR"/>
        </w:rPr>
        <w:t xml:space="preserve"> retient ont trait au</w:t>
      </w:r>
      <w:r w:rsidR="0037781E" w:rsidRPr="006E2F26">
        <w:rPr>
          <w:rFonts w:asciiTheme="minorHAnsi" w:hAnsiTheme="minorHAnsi" w:cstheme="minorHAnsi"/>
          <w:lang w:val="fr-FR"/>
        </w:rPr>
        <w:t>x</w:t>
      </w:r>
      <w:r w:rsidRPr="006E2F26">
        <w:rPr>
          <w:rFonts w:asciiTheme="minorHAnsi" w:hAnsiTheme="minorHAnsi" w:cstheme="minorHAnsi"/>
          <w:lang w:val="fr-FR"/>
        </w:rPr>
        <w:t xml:space="preserve"> texte</w:t>
      </w:r>
      <w:r w:rsidR="0037781E" w:rsidRPr="006E2F26">
        <w:rPr>
          <w:rFonts w:asciiTheme="minorHAnsi" w:hAnsiTheme="minorHAnsi" w:cstheme="minorHAnsi"/>
          <w:lang w:val="fr-FR"/>
        </w:rPr>
        <w:t>s</w:t>
      </w:r>
      <w:r w:rsidRPr="006E2F26">
        <w:rPr>
          <w:rFonts w:asciiTheme="minorHAnsi" w:hAnsiTheme="minorHAnsi" w:cstheme="minorHAnsi"/>
          <w:lang w:val="fr-FR"/>
        </w:rPr>
        <w:t xml:space="preserve"> des deux conventions, l’un</w:t>
      </w:r>
      <w:r w:rsidR="00DC47A5" w:rsidRPr="006E2F26">
        <w:rPr>
          <w:rFonts w:asciiTheme="minorHAnsi" w:hAnsiTheme="minorHAnsi" w:cstheme="minorHAnsi"/>
          <w:lang w:val="fr-FR"/>
        </w:rPr>
        <w:t xml:space="preserve">e décrivant l’absence de lien de subordination et l’autre en constatant l’existence. Elle ne relève ou ne contredit pas les similitudes résultant de l’exécution de ces conventions décrites par </w:t>
      </w:r>
      <w:r w:rsidR="008C7B4A" w:rsidRPr="006E2F26">
        <w:rPr>
          <w:rFonts w:asciiTheme="minorHAnsi" w:hAnsiTheme="minorHAnsi" w:cstheme="minorHAnsi"/>
          <w:lang w:val="fr-FR"/>
        </w:rPr>
        <w:t>M.</w:t>
      </w:r>
      <w:r w:rsidR="00322265" w:rsidRPr="006E2F26">
        <w:rPr>
          <w:rFonts w:asciiTheme="minorHAnsi" w:hAnsiTheme="minorHAnsi" w:cstheme="minorHAnsi"/>
          <w:lang w:val="fr-FR"/>
        </w:rPr>
        <w:t xml:space="preserve"> </w:t>
      </w:r>
      <w:r w:rsidR="00961229">
        <w:rPr>
          <w:rFonts w:asciiTheme="minorHAnsi" w:hAnsiTheme="minorHAnsi" w:cstheme="minorHAnsi"/>
          <w:lang w:val="fr-FR"/>
        </w:rPr>
        <w:t>M</w:t>
      </w:r>
      <w:r w:rsidR="00DC47A5" w:rsidRPr="006E2F26">
        <w:rPr>
          <w:rFonts w:asciiTheme="minorHAnsi" w:hAnsiTheme="minorHAnsi" w:cstheme="minorHAnsi"/>
          <w:lang w:val="fr-FR"/>
        </w:rPr>
        <w:t xml:space="preserve"> et constatées par le Tribunal.</w:t>
      </w:r>
    </w:p>
    <w:p w14:paraId="46C49BEC" w14:textId="77777777" w:rsidR="00DC47A5" w:rsidRPr="006E2F26" w:rsidRDefault="00DC47A5" w:rsidP="00D717A8">
      <w:p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lang w:val="fr-FR"/>
        </w:rPr>
      </w:pPr>
    </w:p>
    <w:p w14:paraId="7F9E988D" w14:textId="77777777" w:rsidR="00034F4A" w:rsidRDefault="00DC47A5" w:rsidP="00D717A8">
      <w:p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lang w:val="fr-FR"/>
        </w:rPr>
      </w:pPr>
      <w:r w:rsidRPr="006E2F26">
        <w:rPr>
          <w:rFonts w:asciiTheme="minorHAnsi" w:hAnsiTheme="minorHAnsi" w:cstheme="minorHAnsi"/>
          <w:lang w:val="fr-FR"/>
        </w:rPr>
        <w:t>En effet,</w:t>
      </w:r>
      <w:r w:rsidR="00034F4A" w:rsidRPr="006E2F26">
        <w:rPr>
          <w:rFonts w:asciiTheme="minorHAnsi" w:hAnsiTheme="minorHAnsi" w:cstheme="minorHAnsi"/>
          <w:lang w:val="fr-FR"/>
        </w:rPr>
        <w:t xml:space="preserve"> </w:t>
      </w:r>
      <w:r w:rsidR="00DA7ACA" w:rsidRPr="006E2F26">
        <w:rPr>
          <w:rFonts w:asciiTheme="minorHAnsi" w:hAnsiTheme="minorHAnsi" w:cstheme="minorHAnsi"/>
          <w:lang w:val="fr-FR"/>
        </w:rPr>
        <w:t xml:space="preserve">en plus du fait que l’organisation du temps de travail et du travail ainsi que le contrôle hiérarchique étaient identiques, </w:t>
      </w:r>
      <w:r w:rsidR="00034F4A" w:rsidRPr="006E2F26">
        <w:rPr>
          <w:rFonts w:asciiTheme="minorHAnsi" w:hAnsiTheme="minorHAnsi" w:cstheme="minorHAnsi"/>
          <w:lang w:val="fr-FR"/>
        </w:rPr>
        <w:t>le Tribunal relève que :</w:t>
      </w:r>
    </w:p>
    <w:p w14:paraId="024F680A" w14:textId="77777777" w:rsidR="002B36C9" w:rsidRPr="006E2F26" w:rsidRDefault="002B36C9" w:rsidP="00D717A8">
      <w:p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lang w:val="fr-FR"/>
        </w:rPr>
      </w:pPr>
    </w:p>
    <w:p w14:paraId="3B570334" w14:textId="6745C341" w:rsidR="00DC47A5" w:rsidRPr="006E2F26" w:rsidRDefault="00034F4A" w:rsidP="00034F4A">
      <w:pPr>
        <w:pStyle w:val="Paragraphedeliste"/>
        <w:numPr>
          <w:ilvl w:val="0"/>
          <w:numId w:val="15"/>
        </w:num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lang w:val="fr-FR"/>
        </w:rPr>
      </w:pPr>
      <w:r w:rsidRPr="006E2F26">
        <w:rPr>
          <w:rFonts w:asciiTheme="minorHAnsi" w:hAnsiTheme="minorHAnsi" w:cstheme="minorHAnsi"/>
          <w:lang w:val="fr-FR"/>
        </w:rPr>
        <w:t>La fonction était</w:t>
      </w:r>
      <w:r w:rsidR="00DA7ACA" w:rsidRPr="006E2F26">
        <w:rPr>
          <w:rFonts w:asciiTheme="minorHAnsi" w:hAnsiTheme="minorHAnsi" w:cstheme="minorHAnsi"/>
          <w:lang w:val="fr-FR"/>
        </w:rPr>
        <w:t xml:space="preserve"> également</w:t>
      </w:r>
      <w:r w:rsidRPr="006E2F26">
        <w:rPr>
          <w:rFonts w:asciiTheme="minorHAnsi" w:hAnsiTheme="minorHAnsi" w:cstheme="minorHAnsi"/>
          <w:lang w:val="fr-FR"/>
        </w:rPr>
        <w:t xml:space="preserve"> </w:t>
      </w:r>
      <w:r w:rsidR="00DA7ACA" w:rsidRPr="006E2F26">
        <w:rPr>
          <w:rFonts w:asciiTheme="minorHAnsi" w:hAnsiTheme="minorHAnsi" w:cstheme="minorHAnsi"/>
          <w:lang w:val="fr-FR"/>
        </w:rPr>
        <w:t>la même</w:t>
      </w:r>
      <w:r w:rsidRPr="006E2F26">
        <w:rPr>
          <w:rFonts w:asciiTheme="minorHAnsi" w:hAnsiTheme="minorHAnsi" w:cstheme="minorHAnsi"/>
          <w:lang w:val="fr-FR"/>
        </w:rPr>
        <w:t xml:space="preserve">, </w:t>
      </w:r>
      <w:r w:rsidR="008C7B4A" w:rsidRPr="006E2F26">
        <w:rPr>
          <w:rFonts w:asciiTheme="minorHAnsi" w:hAnsiTheme="minorHAnsi" w:cstheme="minorHAnsi"/>
          <w:lang w:val="fr-FR"/>
        </w:rPr>
        <w:t>M.</w:t>
      </w:r>
      <w:r w:rsidR="00322265" w:rsidRPr="006E2F26">
        <w:rPr>
          <w:rFonts w:asciiTheme="minorHAnsi" w:hAnsiTheme="minorHAnsi" w:cstheme="minorHAnsi"/>
          <w:lang w:val="fr-FR"/>
        </w:rPr>
        <w:t xml:space="preserve"> </w:t>
      </w:r>
      <w:r w:rsidR="00961229">
        <w:rPr>
          <w:rFonts w:asciiTheme="minorHAnsi" w:hAnsiTheme="minorHAnsi" w:cstheme="minorHAnsi"/>
          <w:lang w:val="fr-FR"/>
        </w:rPr>
        <w:t>M</w:t>
      </w:r>
      <w:r w:rsidRPr="006E2F26">
        <w:rPr>
          <w:rFonts w:asciiTheme="minorHAnsi" w:hAnsiTheme="minorHAnsi" w:cstheme="minorHAnsi"/>
          <w:lang w:val="fr-FR"/>
        </w:rPr>
        <w:t xml:space="preserve"> était entraîneur de joueurs de tennis de table de haut niveau. </w:t>
      </w:r>
    </w:p>
    <w:p w14:paraId="1422A4E2" w14:textId="77777777" w:rsidR="00034F4A" w:rsidRPr="006E2F26" w:rsidRDefault="0097260E" w:rsidP="00034F4A">
      <w:pPr>
        <w:pStyle w:val="Paragraphedeliste"/>
        <w:numPr>
          <w:ilvl w:val="0"/>
          <w:numId w:val="15"/>
        </w:num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lang w:val="fr-FR"/>
        </w:rPr>
      </w:pPr>
      <w:r w:rsidRPr="006E2F26">
        <w:rPr>
          <w:rFonts w:asciiTheme="minorHAnsi" w:hAnsiTheme="minorHAnsi" w:cstheme="minorHAnsi"/>
          <w:lang w:val="fr-FR"/>
        </w:rPr>
        <w:t>Les lieux d’exécution du travail étai</w:t>
      </w:r>
      <w:r w:rsidR="0017518D" w:rsidRPr="006E2F26">
        <w:rPr>
          <w:rFonts w:asciiTheme="minorHAnsi" w:hAnsiTheme="minorHAnsi" w:cstheme="minorHAnsi"/>
          <w:lang w:val="fr-FR"/>
        </w:rPr>
        <w:t>en</w:t>
      </w:r>
      <w:r w:rsidRPr="006E2F26">
        <w:rPr>
          <w:rFonts w:asciiTheme="minorHAnsi" w:hAnsiTheme="minorHAnsi" w:cstheme="minorHAnsi"/>
          <w:lang w:val="fr-FR"/>
        </w:rPr>
        <w:t xml:space="preserve">t </w:t>
      </w:r>
      <w:r w:rsidR="009E0ED1" w:rsidRPr="006E2F26">
        <w:rPr>
          <w:rFonts w:asciiTheme="minorHAnsi" w:hAnsiTheme="minorHAnsi" w:cstheme="minorHAnsi"/>
          <w:lang w:val="fr-FR"/>
        </w:rPr>
        <w:t>situés aux mêmes endroits</w:t>
      </w:r>
      <w:r w:rsidR="00CD2EE9" w:rsidRPr="006E2F26">
        <w:rPr>
          <w:rFonts w:asciiTheme="minorHAnsi" w:hAnsiTheme="minorHAnsi" w:cstheme="minorHAnsi"/>
          <w:lang w:val="fr-FR"/>
        </w:rPr>
        <w:t xml:space="preserve"> en Belgique et</w:t>
      </w:r>
      <w:r w:rsidRPr="006E2F26">
        <w:rPr>
          <w:rFonts w:asciiTheme="minorHAnsi" w:hAnsiTheme="minorHAnsi" w:cstheme="minorHAnsi"/>
          <w:lang w:val="fr-FR"/>
        </w:rPr>
        <w:t xml:space="preserve"> des prestations à l’étranger </w:t>
      </w:r>
      <w:r w:rsidR="00EF6070" w:rsidRPr="006E2F26">
        <w:rPr>
          <w:rFonts w:asciiTheme="minorHAnsi" w:hAnsiTheme="minorHAnsi" w:cstheme="minorHAnsi"/>
          <w:lang w:val="fr-FR"/>
        </w:rPr>
        <w:t>étaient prévues au cours des deux périodes.</w:t>
      </w:r>
    </w:p>
    <w:p w14:paraId="101C250E" w14:textId="64E6B6DB" w:rsidR="0017518D" w:rsidRPr="006E2F26" w:rsidRDefault="0017518D" w:rsidP="00BD13FD">
      <w:pPr>
        <w:pStyle w:val="Paragraphedeliste"/>
        <w:numPr>
          <w:ilvl w:val="0"/>
          <w:numId w:val="15"/>
        </w:num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lang w:val="fr-FR"/>
        </w:rPr>
      </w:pPr>
      <w:r w:rsidRPr="006E2F26">
        <w:rPr>
          <w:rFonts w:asciiTheme="minorHAnsi" w:hAnsiTheme="minorHAnsi" w:cstheme="minorHAnsi"/>
          <w:lang w:val="fr-FR"/>
        </w:rPr>
        <w:t xml:space="preserve">La rémunération était fixe dans les deux cas, à tout le moins à partir du 29 août 2012, date à partir de laquelle il est prévu, dans la note rendant compte d’une réunion du même jour, que la facturation de </w:t>
      </w:r>
      <w:r w:rsidR="008C7B4A" w:rsidRPr="006E2F26">
        <w:rPr>
          <w:rFonts w:asciiTheme="minorHAnsi" w:hAnsiTheme="minorHAnsi" w:cstheme="minorHAnsi"/>
          <w:lang w:val="fr-FR"/>
        </w:rPr>
        <w:t>M.</w:t>
      </w:r>
      <w:r w:rsidR="00322265" w:rsidRPr="006E2F26">
        <w:rPr>
          <w:rFonts w:asciiTheme="minorHAnsi" w:hAnsiTheme="minorHAnsi" w:cstheme="minorHAnsi"/>
          <w:lang w:val="fr-FR"/>
        </w:rPr>
        <w:t xml:space="preserve"> </w:t>
      </w:r>
      <w:r w:rsidR="00961229">
        <w:rPr>
          <w:rFonts w:asciiTheme="minorHAnsi" w:hAnsiTheme="minorHAnsi" w:cstheme="minorHAnsi"/>
          <w:lang w:val="fr-FR"/>
        </w:rPr>
        <w:t>M</w:t>
      </w:r>
      <w:r w:rsidRPr="006E2F26">
        <w:rPr>
          <w:rFonts w:asciiTheme="minorHAnsi" w:hAnsiTheme="minorHAnsi" w:cstheme="minorHAnsi"/>
          <w:lang w:val="fr-FR"/>
        </w:rPr>
        <w:t xml:space="preserve"> devienne « </w:t>
      </w:r>
      <w:r w:rsidRPr="002C0588">
        <w:rPr>
          <w:rFonts w:asciiTheme="minorHAnsi" w:hAnsiTheme="minorHAnsi" w:cstheme="minorHAnsi"/>
          <w:i/>
          <w:lang w:val="fr-FR"/>
        </w:rPr>
        <w:t>fixe</w:t>
      </w:r>
      <w:r w:rsidRPr="006E2F26">
        <w:rPr>
          <w:rFonts w:asciiTheme="minorHAnsi" w:hAnsiTheme="minorHAnsi" w:cstheme="minorHAnsi"/>
          <w:lang w:val="fr-FR"/>
        </w:rPr>
        <w:t xml:space="preserve"> » et non plus </w:t>
      </w:r>
      <w:r w:rsidR="002C0588">
        <w:rPr>
          <w:rFonts w:asciiTheme="minorHAnsi" w:hAnsiTheme="minorHAnsi" w:cstheme="minorHAnsi"/>
          <w:lang w:val="fr-FR"/>
        </w:rPr>
        <w:t>« </w:t>
      </w:r>
      <w:r w:rsidRPr="002C0588">
        <w:rPr>
          <w:rFonts w:asciiTheme="minorHAnsi" w:hAnsiTheme="minorHAnsi" w:cstheme="minorHAnsi"/>
          <w:i/>
          <w:lang w:val="fr-FR"/>
        </w:rPr>
        <w:t>comptabilisée par jour</w:t>
      </w:r>
      <w:r w:rsidR="002C0588">
        <w:rPr>
          <w:rFonts w:asciiTheme="minorHAnsi" w:hAnsiTheme="minorHAnsi" w:cstheme="minorHAnsi"/>
          <w:lang w:val="fr-FR"/>
        </w:rPr>
        <w:t> »</w:t>
      </w:r>
      <w:r w:rsidRPr="006E2F26">
        <w:rPr>
          <w:rFonts w:asciiTheme="minorHAnsi" w:hAnsiTheme="minorHAnsi" w:cstheme="minorHAnsi"/>
          <w:lang w:val="fr-FR"/>
        </w:rPr>
        <w:t>.</w:t>
      </w:r>
    </w:p>
    <w:p w14:paraId="22C65158" w14:textId="77777777" w:rsidR="0017518D" w:rsidRPr="006E2F26" w:rsidRDefault="0017518D" w:rsidP="0017518D">
      <w:p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lang w:val="fr-FR"/>
        </w:rPr>
      </w:pPr>
    </w:p>
    <w:p w14:paraId="2D2B6CD8" w14:textId="77777777" w:rsidR="0017518D" w:rsidRPr="006E2F26" w:rsidRDefault="0017518D" w:rsidP="0017518D">
      <w:p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lang w:val="fr-FR"/>
        </w:rPr>
      </w:pPr>
      <w:r w:rsidRPr="006E2F26">
        <w:rPr>
          <w:rFonts w:asciiTheme="minorHAnsi" w:hAnsiTheme="minorHAnsi" w:cstheme="minorHAnsi"/>
          <w:lang w:val="fr-FR"/>
        </w:rPr>
        <w:t xml:space="preserve">Il faut encore souligner que </w:t>
      </w:r>
      <w:r w:rsidR="00322265" w:rsidRPr="006E2F26">
        <w:rPr>
          <w:rFonts w:asciiTheme="minorHAnsi" w:hAnsiTheme="minorHAnsi" w:cstheme="minorHAnsi"/>
          <w:lang w:val="fr-FR"/>
        </w:rPr>
        <w:t>L’A.S.B.L.</w:t>
      </w:r>
      <w:r w:rsidRPr="006E2F26">
        <w:rPr>
          <w:rFonts w:asciiTheme="minorHAnsi" w:hAnsiTheme="minorHAnsi" w:cstheme="minorHAnsi"/>
          <w:lang w:val="fr-FR"/>
        </w:rPr>
        <w:t xml:space="preserve"> avait souscrit une assurance garantissant la responsabilité civile extracontractuelle de l’entraîneur.</w:t>
      </w:r>
    </w:p>
    <w:p w14:paraId="75FB6612" w14:textId="77777777" w:rsidR="00F73565" w:rsidRPr="006E2F26" w:rsidRDefault="00F73565" w:rsidP="00D717A8">
      <w:p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lang w:val="fr-FR"/>
        </w:rPr>
      </w:pPr>
    </w:p>
    <w:p w14:paraId="4887A4F1" w14:textId="77777777" w:rsidR="00964973" w:rsidRPr="006E2F26" w:rsidRDefault="00B95CBE" w:rsidP="00340823">
      <w:p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lang w:val="fr-FR"/>
        </w:rPr>
      </w:pPr>
      <w:r w:rsidRPr="006E2F26">
        <w:rPr>
          <w:rFonts w:asciiTheme="minorHAnsi" w:hAnsiTheme="minorHAnsi" w:cstheme="minorHAnsi"/>
          <w:lang w:val="fr-FR"/>
        </w:rPr>
        <w:t xml:space="preserve">Il ressort de tous ces éléments </w:t>
      </w:r>
      <w:r w:rsidR="00DC47A5" w:rsidRPr="006E2F26">
        <w:rPr>
          <w:rFonts w:asciiTheme="minorHAnsi" w:hAnsiTheme="minorHAnsi" w:cstheme="minorHAnsi"/>
          <w:lang w:val="fr-FR"/>
        </w:rPr>
        <w:t xml:space="preserve">que </w:t>
      </w:r>
      <w:r w:rsidR="00964973" w:rsidRPr="006E2F26">
        <w:rPr>
          <w:rFonts w:asciiTheme="minorHAnsi" w:hAnsiTheme="minorHAnsi" w:cstheme="minorHAnsi"/>
          <w:lang w:val="fr-FR"/>
        </w:rPr>
        <w:t>l’exécution de la convention</w:t>
      </w:r>
      <w:r w:rsidR="00DC47A5" w:rsidRPr="006E2F26">
        <w:rPr>
          <w:rFonts w:asciiTheme="minorHAnsi" w:hAnsiTheme="minorHAnsi" w:cstheme="minorHAnsi"/>
          <w:lang w:val="fr-FR"/>
        </w:rPr>
        <w:t xml:space="preserve"> de prestations de services du 1</w:t>
      </w:r>
      <w:r w:rsidR="00DC47A5" w:rsidRPr="006E2F26">
        <w:rPr>
          <w:rFonts w:asciiTheme="minorHAnsi" w:hAnsiTheme="minorHAnsi" w:cstheme="minorHAnsi"/>
          <w:vertAlign w:val="superscript"/>
          <w:lang w:val="fr-FR"/>
        </w:rPr>
        <w:t>er</w:t>
      </w:r>
      <w:r w:rsidR="00DC47A5" w:rsidRPr="006E2F26">
        <w:rPr>
          <w:rFonts w:asciiTheme="minorHAnsi" w:hAnsiTheme="minorHAnsi" w:cstheme="minorHAnsi"/>
          <w:lang w:val="fr-FR"/>
        </w:rPr>
        <w:t xml:space="preserve"> septembre 2011 au 31 décembre 2015</w:t>
      </w:r>
      <w:r w:rsidR="00964973" w:rsidRPr="006E2F26">
        <w:rPr>
          <w:rFonts w:asciiTheme="minorHAnsi" w:hAnsiTheme="minorHAnsi" w:cstheme="minorHAnsi"/>
          <w:lang w:val="fr-FR"/>
        </w:rPr>
        <w:t xml:space="preserve"> révèle une incompatibilité avec la relation que les parties ont officiellement conclue.</w:t>
      </w:r>
      <w:r w:rsidR="00DC47A5" w:rsidRPr="006E2F26">
        <w:rPr>
          <w:rFonts w:asciiTheme="minorHAnsi" w:hAnsiTheme="minorHAnsi" w:cstheme="minorHAnsi"/>
          <w:lang w:val="fr-FR"/>
        </w:rPr>
        <w:t xml:space="preserve"> </w:t>
      </w:r>
      <w:r w:rsidRPr="006E2F26">
        <w:rPr>
          <w:rFonts w:asciiTheme="minorHAnsi" w:hAnsiTheme="minorHAnsi" w:cstheme="minorHAnsi"/>
          <w:lang w:val="fr-FR"/>
        </w:rPr>
        <w:t>Le Tribunal estime qu’elle</w:t>
      </w:r>
      <w:r w:rsidR="00DC47A5" w:rsidRPr="006E2F26">
        <w:rPr>
          <w:rFonts w:asciiTheme="minorHAnsi" w:hAnsiTheme="minorHAnsi" w:cstheme="minorHAnsi"/>
          <w:lang w:val="fr-FR"/>
        </w:rPr>
        <w:t xml:space="preserve"> doit donc être requalifiée en contrat de travail. </w:t>
      </w:r>
    </w:p>
    <w:p w14:paraId="16CF9AAE" w14:textId="77777777" w:rsidR="00ED7713" w:rsidRPr="006E2F26" w:rsidRDefault="00ED7713" w:rsidP="00340823">
      <w:p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lang w:val="fr-FR"/>
        </w:rPr>
      </w:pPr>
    </w:p>
    <w:p w14:paraId="356DB29E" w14:textId="1D6973C2" w:rsidR="00ED7713" w:rsidRPr="006E2F26" w:rsidRDefault="00ED7713" w:rsidP="00340823">
      <w:p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lang w:val="fr-FR"/>
        </w:rPr>
      </w:pPr>
      <w:r w:rsidRPr="006E2F26">
        <w:rPr>
          <w:rFonts w:asciiTheme="minorHAnsi" w:hAnsiTheme="minorHAnsi" w:cstheme="minorHAnsi"/>
          <w:lang w:val="fr-FR"/>
        </w:rPr>
        <w:t xml:space="preserve">Le fait que </w:t>
      </w:r>
      <w:r w:rsidR="008C7B4A" w:rsidRPr="006E2F26">
        <w:rPr>
          <w:rFonts w:asciiTheme="minorHAnsi" w:hAnsiTheme="minorHAnsi" w:cstheme="minorHAnsi"/>
          <w:lang w:val="fr-FR"/>
        </w:rPr>
        <w:t>M.</w:t>
      </w:r>
      <w:r w:rsidR="00322265" w:rsidRPr="006E2F26">
        <w:rPr>
          <w:rFonts w:asciiTheme="minorHAnsi" w:hAnsiTheme="minorHAnsi" w:cstheme="minorHAnsi"/>
          <w:lang w:val="fr-FR"/>
        </w:rPr>
        <w:t xml:space="preserve"> </w:t>
      </w:r>
      <w:r w:rsidR="00961229">
        <w:rPr>
          <w:rFonts w:asciiTheme="minorHAnsi" w:hAnsiTheme="minorHAnsi" w:cstheme="minorHAnsi"/>
          <w:lang w:val="fr-FR"/>
        </w:rPr>
        <w:t>M</w:t>
      </w:r>
      <w:r w:rsidRPr="006E2F26">
        <w:rPr>
          <w:rFonts w:asciiTheme="minorHAnsi" w:hAnsiTheme="minorHAnsi" w:cstheme="minorHAnsi"/>
          <w:lang w:val="fr-FR"/>
        </w:rPr>
        <w:t xml:space="preserve"> </w:t>
      </w:r>
      <w:r w:rsidR="00580E2A" w:rsidRPr="006E2F26">
        <w:rPr>
          <w:rFonts w:asciiTheme="minorHAnsi" w:hAnsiTheme="minorHAnsi" w:cstheme="minorHAnsi"/>
          <w:lang w:val="fr-FR"/>
        </w:rPr>
        <w:t>ait</w:t>
      </w:r>
      <w:r w:rsidR="00307987">
        <w:rPr>
          <w:rFonts w:asciiTheme="minorHAnsi" w:hAnsiTheme="minorHAnsi" w:cstheme="minorHAnsi"/>
          <w:lang w:val="fr-FR"/>
        </w:rPr>
        <w:t xml:space="preserve"> exercé d’autres fonctions ailleurs, </w:t>
      </w:r>
      <w:r w:rsidRPr="006E2F26">
        <w:rPr>
          <w:rFonts w:asciiTheme="minorHAnsi" w:hAnsiTheme="minorHAnsi" w:cstheme="minorHAnsi"/>
          <w:lang w:val="fr-FR"/>
        </w:rPr>
        <w:t xml:space="preserve">au début de </w:t>
      </w:r>
      <w:r w:rsidR="00307987">
        <w:rPr>
          <w:rFonts w:asciiTheme="minorHAnsi" w:hAnsiTheme="minorHAnsi" w:cstheme="minorHAnsi"/>
          <w:lang w:val="fr-FR"/>
        </w:rPr>
        <w:t xml:space="preserve">l’exécution de </w:t>
      </w:r>
      <w:r w:rsidRPr="006E2F26">
        <w:rPr>
          <w:rFonts w:asciiTheme="minorHAnsi" w:hAnsiTheme="minorHAnsi" w:cstheme="minorHAnsi"/>
          <w:lang w:val="fr-FR"/>
        </w:rPr>
        <w:t>ce contrat</w:t>
      </w:r>
      <w:r w:rsidR="00307987">
        <w:rPr>
          <w:rFonts w:asciiTheme="minorHAnsi" w:hAnsiTheme="minorHAnsi" w:cstheme="minorHAnsi"/>
          <w:lang w:val="fr-FR"/>
        </w:rPr>
        <w:t>,</w:t>
      </w:r>
      <w:r w:rsidRPr="006E2F26">
        <w:rPr>
          <w:rFonts w:asciiTheme="minorHAnsi" w:hAnsiTheme="minorHAnsi" w:cstheme="minorHAnsi"/>
          <w:lang w:val="fr-FR"/>
        </w:rPr>
        <w:t xml:space="preserve"> ne permet pas de remettre en cause cette qualification. Un travailleur </w:t>
      </w:r>
      <w:r w:rsidR="000E61BA" w:rsidRPr="006E2F26">
        <w:rPr>
          <w:rFonts w:asciiTheme="minorHAnsi" w:hAnsiTheme="minorHAnsi" w:cstheme="minorHAnsi"/>
          <w:lang w:val="fr-FR"/>
        </w:rPr>
        <w:t>salarié pouvant également exercer</w:t>
      </w:r>
      <w:r w:rsidRPr="006E2F26">
        <w:rPr>
          <w:rFonts w:asciiTheme="minorHAnsi" w:hAnsiTheme="minorHAnsi" w:cstheme="minorHAnsi"/>
          <w:lang w:val="fr-FR"/>
        </w:rPr>
        <w:t xml:space="preserve"> des prestations auprès de plusieurs employeurs.</w:t>
      </w:r>
    </w:p>
    <w:p w14:paraId="4C6A3416" w14:textId="77777777" w:rsidR="00721395" w:rsidRDefault="00721395" w:rsidP="00340823">
      <w:pPr>
        <w:pStyle w:val="Textebrut"/>
        <w:tabs>
          <w:tab w:val="left" w:pos="1843"/>
        </w:tabs>
        <w:jc w:val="both"/>
        <w:rPr>
          <w:rFonts w:asciiTheme="minorHAnsi" w:hAnsiTheme="minorHAnsi" w:cstheme="minorHAnsi"/>
          <w:sz w:val="24"/>
          <w:szCs w:val="24"/>
          <w:lang w:val="fr-FR"/>
        </w:rPr>
      </w:pPr>
    </w:p>
    <w:p w14:paraId="215CFDEB" w14:textId="77777777" w:rsidR="00721395" w:rsidRPr="006E2F26" w:rsidRDefault="00721395" w:rsidP="00340823">
      <w:pPr>
        <w:pStyle w:val="Textebrut"/>
        <w:tabs>
          <w:tab w:val="left" w:pos="1843"/>
        </w:tabs>
        <w:jc w:val="both"/>
        <w:rPr>
          <w:rFonts w:asciiTheme="minorHAnsi" w:hAnsiTheme="minorHAnsi" w:cstheme="minorHAnsi"/>
          <w:b/>
          <w:sz w:val="24"/>
          <w:szCs w:val="24"/>
          <w:lang w:val="fr-FR"/>
        </w:rPr>
      </w:pPr>
      <w:r w:rsidRPr="006E2F26">
        <w:rPr>
          <w:rFonts w:asciiTheme="minorHAnsi" w:hAnsiTheme="minorHAnsi" w:cstheme="minorHAnsi"/>
          <w:b/>
          <w:sz w:val="24"/>
          <w:szCs w:val="24"/>
          <w:lang w:val="fr-FR"/>
        </w:rPr>
        <w:t>Une indemnité complémentaire de préavis est-elle due ?</w:t>
      </w:r>
    </w:p>
    <w:p w14:paraId="0785F69E" w14:textId="77777777" w:rsidR="00DC47A5" w:rsidRPr="006E2F26" w:rsidRDefault="00DC47A5" w:rsidP="00340823">
      <w:pPr>
        <w:pStyle w:val="Textebrut"/>
        <w:tabs>
          <w:tab w:val="left" w:pos="1843"/>
        </w:tabs>
        <w:jc w:val="both"/>
        <w:rPr>
          <w:rFonts w:asciiTheme="minorHAnsi" w:hAnsiTheme="minorHAnsi" w:cstheme="minorHAnsi"/>
          <w:b/>
          <w:sz w:val="24"/>
          <w:szCs w:val="24"/>
          <w:lang w:val="fr-FR"/>
        </w:rPr>
      </w:pPr>
    </w:p>
    <w:p w14:paraId="3952C17F" w14:textId="6DFA7689" w:rsidR="00DC47A5" w:rsidRPr="006E2F26" w:rsidRDefault="00DC47A5"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La requalification de la convention de prestations de services du 1</w:t>
      </w:r>
      <w:r w:rsidRPr="006E2F26">
        <w:rPr>
          <w:rFonts w:asciiTheme="minorHAnsi" w:hAnsiTheme="minorHAnsi" w:cstheme="minorHAnsi"/>
          <w:sz w:val="24"/>
          <w:szCs w:val="24"/>
          <w:vertAlign w:val="superscript"/>
          <w:lang w:val="fr-FR"/>
        </w:rPr>
        <w:t>er</w:t>
      </w:r>
      <w:r w:rsidRPr="006E2F26">
        <w:rPr>
          <w:rFonts w:asciiTheme="minorHAnsi" w:hAnsiTheme="minorHAnsi" w:cstheme="minorHAnsi"/>
          <w:sz w:val="24"/>
          <w:szCs w:val="24"/>
          <w:lang w:val="fr-FR"/>
        </w:rPr>
        <w:t xml:space="preserve"> septembre 2011 au 31 décembre 2015 en contrat de travail a notamment comme conséquence de fixer l’ancienneté de celui-ci dès le 1</w:t>
      </w:r>
      <w:r w:rsidRPr="006E2F26">
        <w:rPr>
          <w:rFonts w:asciiTheme="minorHAnsi" w:hAnsiTheme="minorHAnsi" w:cstheme="minorHAnsi"/>
          <w:sz w:val="24"/>
          <w:szCs w:val="24"/>
          <w:vertAlign w:val="superscript"/>
          <w:lang w:val="fr-FR"/>
        </w:rPr>
        <w:t>er</w:t>
      </w:r>
      <w:r w:rsidRPr="006E2F26">
        <w:rPr>
          <w:rFonts w:asciiTheme="minorHAnsi" w:hAnsiTheme="minorHAnsi" w:cstheme="minorHAnsi"/>
          <w:sz w:val="24"/>
          <w:szCs w:val="24"/>
          <w:lang w:val="fr-FR"/>
        </w:rPr>
        <w:t xml:space="preserve"> septembre. Sur cette base, </w:t>
      </w:r>
      <w:r w:rsidR="008C7B4A" w:rsidRPr="006E2F26">
        <w:rPr>
          <w:rFonts w:asciiTheme="minorHAnsi" w:hAnsiTheme="minorHAnsi" w:cstheme="minorHAnsi"/>
          <w:sz w:val="24"/>
          <w:szCs w:val="24"/>
          <w:lang w:val="fr-FR"/>
        </w:rPr>
        <w:t>M.</w:t>
      </w:r>
      <w:r w:rsidR="00322265" w:rsidRPr="006E2F26">
        <w:rPr>
          <w:rFonts w:asciiTheme="minorHAnsi" w:hAnsiTheme="minorHAnsi" w:cstheme="minorHAnsi"/>
          <w:sz w:val="24"/>
          <w:szCs w:val="24"/>
          <w:lang w:val="fr-FR"/>
        </w:rPr>
        <w:t xml:space="preserve"> </w:t>
      </w:r>
      <w:r w:rsidR="00961229">
        <w:rPr>
          <w:rFonts w:asciiTheme="minorHAnsi" w:hAnsiTheme="minorHAnsi" w:cstheme="minorHAnsi"/>
          <w:sz w:val="24"/>
          <w:szCs w:val="24"/>
          <w:lang w:val="fr-FR"/>
        </w:rPr>
        <w:t>M</w:t>
      </w:r>
      <w:r w:rsidRPr="006E2F26">
        <w:rPr>
          <w:rFonts w:asciiTheme="minorHAnsi" w:hAnsiTheme="minorHAnsi" w:cstheme="minorHAnsi"/>
          <w:sz w:val="24"/>
          <w:szCs w:val="24"/>
          <w:lang w:val="fr-FR"/>
        </w:rPr>
        <w:t xml:space="preserve"> est en droit de réclamer indemnité compensatoire de préavis complémentaire. Il l’évalue à 3 mois et 6 semaines correspondant à une somme provisionnelle non</w:t>
      </w:r>
      <w:r w:rsidR="007A7DB5" w:rsidRPr="006E2F26">
        <w:rPr>
          <w:rFonts w:asciiTheme="minorHAnsi" w:hAnsiTheme="minorHAnsi" w:cstheme="minorHAnsi"/>
          <w:sz w:val="24"/>
          <w:szCs w:val="24"/>
          <w:lang w:val="fr-FR"/>
        </w:rPr>
        <w:t xml:space="preserve"> contestée de 21.787,18 € bruts.</w:t>
      </w:r>
    </w:p>
    <w:p w14:paraId="36D60485" w14:textId="77777777" w:rsidR="00DC47A5" w:rsidRPr="006E2F26" w:rsidRDefault="00DC47A5" w:rsidP="00340823">
      <w:pPr>
        <w:pStyle w:val="Textebrut"/>
        <w:tabs>
          <w:tab w:val="left" w:pos="1843"/>
        </w:tabs>
        <w:jc w:val="both"/>
        <w:rPr>
          <w:rFonts w:asciiTheme="minorHAnsi" w:hAnsiTheme="minorHAnsi" w:cstheme="minorHAnsi"/>
          <w:sz w:val="24"/>
          <w:szCs w:val="24"/>
          <w:lang w:val="fr-FR"/>
        </w:rPr>
      </w:pPr>
    </w:p>
    <w:p w14:paraId="4B7844EC" w14:textId="77777777" w:rsidR="00DC47A5" w:rsidRPr="006E2F26" w:rsidRDefault="00DC47A5"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Le Tribunal condamne dès lors </w:t>
      </w:r>
      <w:r w:rsidR="00322265" w:rsidRPr="006E2F26">
        <w:rPr>
          <w:rFonts w:asciiTheme="minorHAnsi" w:hAnsiTheme="minorHAnsi" w:cstheme="minorHAnsi"/>
          <w:sz w:val="24"/>
          <w:szCs w:val="24"/>
          <w:lang w:val="fr-FR"/>
        </w:rPr>
        <w:t>L’A.S.B.L.</w:t>
      </w:r>
      <w:r w:rsidRPr="006E2F26">
        <w:rPr>
          <w:rFonts w:asciiTheme="minorHAnsi" w:hAnsiTheme="minorHAnsi" w:cstheme="minorHAnsi"/>
          <w:sz w:val="24"/>
          <w:szCs w:val="24"/>
          <w:lang w:val="fr-FR"/>
        </w:rPr>
        <w:t xml:space="preserve"> au paiement d’une indemnité compensatoire de préavis complémentaire de 3 mois et 6 semaines de 21.787,18 € bruts.</w:t>
      </w:r>
    </w:p>
    <w:p w14:paraId="5FF8ED12" w14:textId="77777777" w:rsidR="008D6246" w:rsidRDefault="008D6246" w:rsidP="00340823">
      <w:pPr>
        <w:pStyle w:val="Textebrut"/>
        <w:tabs>
          <w:tab w:val="left" w:pos="1843"/>
        </w:tabs>
        <w:jc w:val="both"/>
        <w:rPr>
          <w:rFonts w:asciiTheme="minorHAnsi" w:hAnsiTheme="minorHAnsi" w:cstheme="minorHAnsi"/>
          <w:sz w:val="24"/>
          <w:szCs w:val="24"/>
          <w:lang w:val="fr-FR"/>
        </w:rPr>
      </w:pPr>
    </w:p>
    <w:p w14:paraId="6BABB57C" w14:textId="77777777" w:rsidR="007C1743" w:rsidRDefault="007C1743" w:rsidP="00340823">
      <w:pPr>
        <w:pStyle w:val="Textebrut"/>
        <w:tabs>
          <w:tab w:val="left" w:pos="1843"/>
        </w:tabs>
        <w:jc w:val="both"/>
        <w:rPr>
          <w:rFonts w:asciiTheme="minorHAnsi" w:hAnsiTheme="minorHAnsi" w:cstheme="minorHAnsi"/>
          <w:sz w:val="24"/>
          <w:szCs w:val="24"/>
          <w:lang w:val="fr-FR"/>
        </w:rPr>
      </w:pPr>
    </w:p>
    <w:p w14:paraId="355E501B" w14:textId="77777777" w:rsidR="002F6CA2" w:rsidRPr="006E2F26" w:rsidRDefault="002F6CA2" w:rsidP="00340823">
      <w:pPr>
        <w:pStyle w:val="Textebrut"/>
        <w:tabs>
          <w:tab w:val="left" w:pos="1843"/>
        </w:tabs>
        <w:jc w:val="both"/>
        <w:rPr>
          <w:rFonts w:asciiTheme="minorHAnsi" w:hAnsiTheme="minorHAnsi" w:cstheme="minorHAnsi"/>
          <w:sz w:val="24"/>
          <w:szCs w:val="24"/>
          <w:lang w:val="fr-FR"/>
        </w:rPr>
      </w:pPr>
    </w:p>
    <w:p w14:paraId="7E33F199" w14:textId="77777777" w:rsidR="00DB749D" w:rsidRPr="006E2F26" w:rsidRDefault="00DB749D" w:rsidP="00340823">
      <w:pPr>
        <w:pStyle w:val="Textebrut"/>
        <w:numPr>
          <w:ilvl w:val="1"/>
          <w:numId w:val="8"/>
        </w:numPr>
        <w:tabs>
          <w:tab w:val="left" w:pos="1843"/>
        </w:tabs>
        <w:jc w:val="both"/>
        <w:rPr>
          <w:rFonts w:asciiTheme="minorHAnsi" w:hAnsiTheme="minorHAnsi" w:cstheme="minorHAnsi"/>
          <w:b/>
          <w:sz w:val="24"/>
          <w:szCs w:val="24"/>
          <w:u w:val="single"/>
          <w:lang w:val="fr-FR"/>
        </w:rPr>
      </w:pPr>
      <w:r w:rsidRPr="006E2F26">
        <w:rPr>
          <w:rFonts w:asciiTheme="minorHAnsi" w:hAnsiTheme="minorHAnsi" w:cstheme="minorHAnsi"/>
          <w:b/>
          <w:sz w:val="24"/>
          <w:szCs w:val="24"/>
          <w:u w:val="single"/>
          <w:lang w:val="fr-FR"/>
        </w:rPr>
        <w:t>Remboursement des sommes indûment retenues sur la rémunération</w:t>
      </w:r>
    </w:p>
    <w:p w14:paraId="29C879F6" w14:textId="77777777" w:rsidR="005276DE" w:rsidRPr="006E2F26" w:rsidRDefault="005276DE" w:rsidP="005276DE">
      <w:pPr>
        <w:pStyle w:val="Textebrut"/>
        <w:tabs>
          <w:tab w:val="left" w:pos="1843"/>
        </w:tabs>
        <w:jc w:val="both"/>
        <w:rPr>
          <w:rFonts w:asciiTheme="minorHAnsi" w:hAnsiTheme="minorHAnsi" w:cstheme="minorHAnsi"/>
          <w:sz w:val="24"/>
          <w:szCs w:val="24"/>
          <w:lang w:val="fr-FR"/>
        </w:rPr>
      </w:pPr>
    </w:p>
    <w:p w14:paraId="0AFBA41E" w14:textId="38830901" w:rsidR="005276DE" w:rsidRPr="006E2F26" w:rsidRDefault="008C7B4A" w:rsidP="005276DE">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lastRenderedPageBreak/>
        <w:t>M.</w:t>
      </w:r>
      <w:r w:rsidR="00322265" w:rsidRPr="006E2F26">
        <w:rPr>
          <w:rFonts w:asciiTheme="minorHAnsi" w:hAnsiTheme="minorHAnsi" w:cstheme="minorHAnsi"/>
          <w:sz w:val="24"/>
          <w:szCs w:val="24"/>
          <w:lang w:val="fr-FR"/>
        </w:rPr>
        <w:t xml:space="preserve"> </w:t>
      </w:r>
      <w:r w:rsidR="00961229">
        <w:rPr>
          <w:rFonts w:asciiTheme="minorHAnsi" w:hAnsiTheme="minorHAnsi" w:cstheme="minorHAnsi"/>
          <w:sz w:val="24"/>
          <w:szCs w:val="24"/>
          <w:lang w:val="fr-FR"/>
        </w:rPr>
        <w:t>M</w:t>
      </w:r>
      <w:r w:rsidR="005276DE" w:rsidRPr="006E2F26">
        <w:rPr>
          <w:rFonts w:asciiTheme="minorHAnsi" w:hAnsiTheme="minorHAnsi" w:cstheme="minorHAnsi"/>
          <w:sz w:val="24"/>
          <w:szCs w:val="24"/>
          <w:lang w:val="fr-FR"/>
        </w:rPr>
        <w:t xml:space="preserve"> réclame à </w:t>
      </w:r>
      <w:r w:rsidR="00B867A3" w:rsidRPr="006E2F26">
        <w:rPr>
          <w:rFonts w:asciiTheme="minorHAnsi" w:hAnsiTheme="minorHAnsi" w:cstheme="minorHAnsi"/>
          <w:sz w:val="24"/>
          <w:szCs w:val="24"/>
          <w:lang w:val="fr-FR"/>
        </w:rPr>
        <w:t>l’</w:t>
      </w:r>
      <w:r w:rsidR="00322265" w:rsidRPr="006E2F26">
        <w:rPr>
          <w:rFonts w:asciiTheme="minorHAnsi" w:hAnsiTheme="minorHAnsi" w:cstheme="minorHAnsi"/>
          <w:sz w:val="24"/>
          <w:szCs w:val="24"/>
          <w:lang w:val="fr-FR"/>
        </w:rPr>
        <w:t>A.S.B.L.</w:t>
      </w:r>
      <w:r w:rsidR="005276DE" w:rsidRPr="006E2F26">
        <w:rPr>
          <w:rFonts w:asciiTheme="minorHAnsi" w:hAnsiTheme="minorHAnsi" w:cstheme="minorHAnsi"/>
          <w:sz w:val="24"/>
          <w:szCs w:val="24"/>
          <w:lang w:val="fr-FR"/>
        </w:rPr>
        <w:t xml:space="preserve"> le paiement d’une somme de 31.707,90 € bruts qu’il estime avoir remboursé indûment, voire illégalement à </w:t>
      </w:r>
      <w:r w:rsidR="00B867A3" w:rsidRPr="006E2F26">
        <w:rPr>
          <w:rFonts w:asciiTheme="minorHAnsi" w:hAnsiTheme="minorHAnsi" w:cstheme="minorHAnsi"/>
          <w:sz w:val="24"/>
          <w:szCs w:val="24"/>
          <w:lang w:val="fr-FR"/>
        </w:rPr>
        <w:t>l</w:t>
      </w:r>
      <w:r w:rsidR="00322265" w:rsidRPr="006E2F26">
        <w:rPr>
          <w:rFonts w:asciiTheme="minorHAnsi" w:hAnsiTheme="minorHAnsi" w:cstheme="minorHAnsi"/>
          <w:sz w:val="24"/>
          <w:szCs w:val="24"/>
          <w:lang w:val="fr-FR"/>
        </w:rPr>
        <w:t>’A.S.B.L</w:t>
      </w:r>
      <w:r w:rsidR="00EA1534" w:rsidRPr="006E2F26">
        <w:rPr>
          <w:rFonts w:asciiTheme="minorHAnsi" w:hAnsiTheme="minorHAnsi" w:cstheme="minorHAnsi"/>
          <w:sz w:val="24"/>
          <w:szCs w:val="24"/>
          <w:lang w:val="fr-FR"/>
        </w:rPr>
        <w:t>.</w:t>
      </w:r>
    </w:p>
    <w:p w14:paraId="72D3CCE4" w14:textId="77777777" w:rsidR="005276DE" w:rsidRPr="006E2F26" w:rsidRDefault="005276DE" w:rsidP="005276DE">
      <w:pPr>
        <w:pStyle w:val="Textebrut"/>
        <w:tabs>
          <w:tab w:val="left" w:pos="1843"/>
        </w:tabs>
        <w:jc w:val="both"/>
        <w:rPr>
          <w:rFonts w:asciiTheme="minorHAnsi" w:hAnsiTheme="minorHAnsi" w:cstheme="minorHAnsi"/>
          <w:sz w:val="24"/>
          <w:szCs w:val="24"/>
          <w:lang w:val="fr-FR"/>
        </w:rPr>
      </w:pPr>
    </w:p>
    <w:p w14:paraId="4268374C" w14:textId="2F82D701" w:rsidR="005276DE" w:rsidRPr="006E2F26" w:rsidRDefault="00322265" w:rsidP="005276DE">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L’A.S.B.L.</w:t>
      </w:r>
      <w:r w:rsidR="005276DE" w:rsidRPr="006E2F26">
        <w:rPr>
          <w:rFonts w:asciiTheme="minorHAnsi" w:hAnsiTheme="minorHAnsi" w:cstheme="minorHAnsi"/>
          <w:sz w:val="24"/>
          <w:szCs w:val="24"/>
          <w:lang w:val="fr-FR"/>
        </w:rPr>
        <w:t xml:space="preserve"> estime que cette somme n’a jamais été payée par </w:t>
      </w:r>
      <w:r w:rsidR="008C7B4A" w:rsidRPr="006E2F26">
        <w:rPr>
          <w:rFonts w:asciiTheme="minorHAnsi" w:hAnsiTheme="minorHAnsi" w:cstheme="minorHAnsi"/>
          <w:sz w:val="24"/>
          <w:szCs w:val="24"/>
          <w:lang w:val="fr-FR"/>
        </w:rPr>
        <w:t>M.</w:t>
      </w:r>
      <w:r w:rsidRPr="006E2F26">
        <w:rPr>
          <w:rFonts w:asciiTheme="minorHAnsi" w:hAnsiTheme="minorHAnsi" w:cstheme="minorHAnsi"/>
          <w:sz w:val="24"/>
          <w:szCs w:val="24"/>
          <w:lang w:val="fr-FR"/>
        </w:rPr>
        <w:t xml:space="preserve"> </w:t>
      </w:r>
      <w:r w:rsidR="00961229">
        <w:rPr>
          <w:rFonts w:asciiTheme="minorHAnsi" w:hAnsiTheme="minorHAnsi" w:cstheme="minorHAnsi"/>
          <w:sz w:val="24"/>
          <w:szCs w:val="24"/>
          <w:lang w:val="fr-FR"/>
        </w:rPr>
        <w:t>M</w:t>
      </w:r>
      <w:r w:rsidR="005276DE" w:rsidRPr="006E2F26">
        <w:rPr>
          <w:rFonts w:asciiTheme="minorHAnsi" w:hAnsiTheme="minorHAnsi" w:cstheme="minorHAnsi"/>
          <w:sz w:val="24"/>
          <w:szCs w:val="24"/>
          <w:lang w:val="fr-FR"/>
        </w:rPr>
        <w:t xml:space="preserve"> ou retenu</w:t>
      </w:r>
      <w:r w:rsidR="00865555" w:rsidRPr="006E2F26">
        <w:rPr>
          <w:rFonts w:asciiTheme="minorHAnsi" w:hAnsiTheme="minorHAnsi" w:cstheme="minorHAnsi"/>
          <w:sz w:val="24"/>
          <w:szCs w:val="24"/>
          <w:lang w:val="fr-FR"/>
        </w:rPr>
        <w:t>e</w:t>
      </w:r>
      <w:r w:rsidR="005276DE" w:rsidRPr="006E2F26">
        <w:rPr>
          <w:rFonts w:asciiTheme="minorHAnsi" w:hAnsiTheme="minorHAnsi" w:cstheme="minorHAnsi"/>
          <w:sz w:val="24"/>
          <w:szCs w:val="24"/>
          <w:lang w:val="fr-FR"/>
        </w:rPr>
        <w:t xml:space="preserve"> sur sa rémunération.</w:t>
      </w:r>
    </w:p>
    <w:p w14:paraId="331E2AD0" w14:textId="77777777" w:rsidR="005276DE" w:rsidRPr="006E2F26" w:rsidRDefault="005276DE" w:rsidP="005276DE">
      <w:pPr>
        <w:pStyle w:val="Textebrut"/>
        <w:tabs>
          <w:tab w:val="left" w:pos="1843"/>
        </w:tabs>
        <w:jc w:val="both"/>
        <w:rPr>
          <w:rFonts w:asciiTheme="minorHAnsi" w:hAnsiTheme="minorHAnsi" w:cstheme="minorHAnsi"/>
          <w:sz w:val="24"/>
          <w:szCs w:val="24"/>
          <w:lang w:val="fr-FR"/>
        </w:rPr>
      </w:pPr>
    </w:p>
    <w:p w14:paraId="275D3CFD" w14:textId="2B4956D1" w:rsidR="00A86932" w:rsidRPr="006E2F26" w:rsidRDefault="005276DE" w:rsidP="00B47B8B">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Comme déjà exposé, </w:t>
      </w:r>
      <w:r w:rsidR="00C42C85" w:rsidRPr="006E2F26">
        <w:rPr>
          <w:rFonts w:asciiTheme="minorHAnsi" w:hAnsiTheme="minorHAnsi" w:cstheme="minorHAnsi"/>
          <w:sz w:val="24"/>
          <w:szCs w:val="24"/>
          <w:lang w:val="fr-FR"/>
        </w:rPr>
        <w:t>le 23 juin 2015, un contrôle a été effectué par le SPF Finan</w:t>
      </w:r>
      <w:r w:rsidR="00B867A3" w:rsidRPr="006E2F26">
        <w:rPr>
          <w:rFonts w:asciiTheme="minorHAnsi" w:hAnsiTheme="minorHAnsi" w:cstheme="minorHAnsi"/>
          <w:sz w:val="24"/>
          <w:szCs w:val="24"/>
          <w:lang w:val="fr-FR"/>
        </w:rPr>
        <w:t>ce</w:t>
      </w:r>
      <w:r w:rsidR="001860F1">
        <w:rPr>
          <w:rFonts w:asciiTheme="minorHAnsi" w:hAnsiTheme="minorHAnsi" w:cstheme="minorHAnsi"/>
          <w:sz w:val="24"/>
          <w:szCs w:val="24"/>
          <w:lang w:val="fr-FR"/>
        </w:rPr>
        <w:t>s</w:t>
      </w:r>
      <w:r w:rsidR="00B867A3" w:rsidRPr="006E2F26">
        <w:rPr>
          <w:rFonts w:asciiTheme="minorHAnsi" w:hAnsiTheme="minorHAnsi" w:cstheme="minorHAnsi"/>
          <w:sz w:val="24"/>
          <w:szCs w:val="24"/>
          <w:lang w:val="fr-FR"/>
        </w:rPr>
        <w:t xml:space="preserve"> (Cellule de contrôle TVA). L’</w:t>
      </w:r>
      <w:r w:rsidR="00C42C85" w:rsidRPr="006E2F26">
        <w:rPr>
          <w:rFonts w:asciiTheme="minorHAnsi" w:hAnsiTheme="minorHAnsi" w:cstheme="minorHAnsi"/>
          <w:sz w:val="24"/>
          <w:szCs w:val="24"/>
          <w:lang w:val="fr-FR"/>
        </w:rPr>
        <w:t xml:space="preserve">A.S.B.L. a fait l’objet d’une régularisation car elle a été considérée comme redevable de la TVA pour les prestations fournies en Belgique par </w:t>
      </w:r>
      <w:r w:rsidR="008C7B4A" w:rsidRPr="006E2F26">
        <w:rPr>
          <w:rFonts w:asciiTheme="minorHAnsi" w:hAnsiTheme="minorHAnsi" w:cstheme="minorHAnsi"/>
          <w:sz w:val="24"/>
          <w:szCs w:val="24"/>
          <w:lang w:val="fr-FR"/>
        </w:rPr>
        <w:t>M.</w:t>
      </w:r>
      <w:r w:rsidR="00C42C85" w:rsidRPr="006E2F26">
        <w:rPr>
          <w:rFonts w:asciiTheme="minorHAnsi" w:hAnsiTheme="minorHAnsi" w:cstheme="minorHAnsi"/>
          <w:sz w:val="24"/>
          <w:szCs w:val="24"/>
          <w:lang w:val="fr-FR"/>
        </w:rPr>
        <w:t xml:space="preserve"> </w:t>
      </w:r>
      <w:r w:rsidR="00961229">
        <w:rPr>
          <w:rFonts w:asciiTheme="minorHAnsi" w:hAnsiTheme="minorHAnsi" w:cstheme="minorHAnsi"/>
          <w:sz w:val="24"/>
          <w:szCs w:val="24"/>
          <w:lang w:val="fr-FR"/>
        </w:rPr>
        <w:t>M</w:t>
      </w:r>
      <w:r w:rsidR="00C42C85" w:rsidRPr="006E2F26">
        <w:rPr>
          <w:rFonts w:asciiTheme="minorHAnsi" w:hAnsiTheme="minorHAnsi" w:cstheme="minorHAnsi"/>
          <w:sz w:val="24"/>
          <w:szCs w:val="24"/>
          <w:lang w:val="fr-FR"/>
        </w:rPr>
        <w:t>, assujetti en France. Le montant a régularisé était de 37.331,70 €.</w:t>
      </w:r>
      <w:r w:rsidR="00B47B8B" w:rsidRPr="006E2F26">
        <w:rPr>
          <w:rFonts w:asciiTheme="minorHAnsi" w:hAnsiTheme="minorHAnsi" w:cstheme="minorHAnsi"/>
          <w:sz w:val="24"/>
          <w:szCs w:val="24"/>
          <w:lang w:val="fr-FR"/>
        </w:rPr>
        <w:t xml:space="preserve"> Il a été accepté par </w:t>
      </w:r>
      <w:r w:rsidR="00322265" w:rsidRPr="006E2F26">
        <w:rPr>
          <w:rFonts w:asciiTheme="minorHAnsi" w:hAnsiTheme="minorHAnsi" w:cstheme="minorHAnsi"/>
          <w:sz w:val="24"/>
          <w:szCs w:val="24"/>
          <w:lang w:val="fr-FR"/>
        </w:rPr>
        <w:t>L’A.S.B.L.</w:t>
      </w:r>
      <w:r w:rsidR="00B47B8B" w:rsidRPr="006E2F26">
        <w:rPr>
          <w:rFonts w:asciiTheme="minorHAnsi" w:hAnsiTheme="minorHAnsi" w:cstheme="minorHAnsi"/>
          <w:sz w:val="24"/>
          <w:szCs w:val="24"/>
          <w:lang w:val="fr-FR"/>
        </w:rPr>
        <w:t xml:space="preserve"> le 8 octobre 2015.</w:t>
      </w:r>
    </w:p>
    <w:p w14:paraId="3EF97E11" w14:textId="77777777" w:rsidR="00B47B8B" w:rsidRPr="006E2F26" w:rsidRDefault="00B47B8B" w:rsidP="00B47B8B">
      <w:pPr>
        <w:pStyle w:val="Textebrut"/>
        <w:tabs>
          <w:tab w:val="left" w:pos="1843"/>
        </w:tabs>
        <w:jc w:val="both"/>
        <w:rPr>
          <w:rFonts w:asciiTheme="minorHAnsi" w:hAnsiTheme="minorHAnsi" w:cstheme="minorHAnsi"/>
          <w:sz w:val="24"/>
          <w:szCs w:val="24"/>
          <w:lang w:val="fr-FR"/>
        </w:rPr>
      </w:pPr>
    </w:p>
    <w:p w14:paraId="046628F2" w14:textId="77777777" w:rsidR="00F20738" w:rsidRPr="006E2F26" w:rsidRDefault="00F20738" w:rsidP="00B47B8B">
      <w:pPr>
        <w:pStyle w:val="Textebrut"/>
        <w:tabs>
          <w:tab w:val="left" w:pos="1843"/>
        </w:tabs>
        <w:jc w:val="both"/>
        <w:rPr>
          <w:rFonts w:asciiTheme="minorHAnsi" w:hAnsiTheme="minorHAnsi" w:cstheme="minorHAnsi"/>
          <w:sz w:val="24"/>
          <w:szCs w:val="24"/>
          <w:lang w:val="fr-FR"/>
        </w:rPr>
      </w:pPr>
    </w:p>
    <w:p w14:paraId="5E3D8C6D" w14:textId="4FD621F9" w:rsidR="00B47B8B" w:rsidRPr="006E2F26" w:rsidRDefault="00B47B8B" w:rsidP="00B47B8B">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Au moment de la signature du contrat de travail de </w:t>
      </w:r>
      <w:r w:rsidR="008C7B4A" w:rsidRPr="006E2F26">
        <w:rPr>
          <w:rFonts w:asciiTheme="minorHAnsi" w:hAnsiTheme="minorHAnsi" w:cstheme="minorHAnsi"/>
          <w:sz w:val="24"/>
          <w:szCs w:val="24"/>
          <w:lang w:val="fr-FR"/>
        </w:rPr>
        <w:t>M.</w:t>
      </w:r>
      <w:r w:rsidR="00322265" w:rsidRPr="006E2F26">
        <w:rPr>
          <w:rFonts w:asciiTheme="minorHAnsi" w:hAnsiTheme="minorHAnsi" w:cstheme="minorHAnsi"/>
          <w:sz w:val="24"/>
          <w:szCs w:val="24"/>
          <w:lang w:val="fr-FR"/>
        </w:rPr>
        <w:t xml:space="preserve"> </w:t>
      </w:r>
      <w:r w:rsidR="00961229">
        <w:rPr>
          <w:rFonts w:asciiTheme="minorHAnsi" w:hAnsiTheme="minorHAnsi" w:cstheme="minorHAnsi"/>
          <w:sz w:val="24"/>
          <w:szCs w:val="24"/>
          <w:lang w:val="fr-FR"/>
        </w:rPr>
        <w:t>M</w:t>
      </w:r>
      <w:r w:rsidRPr="006E2F26">
        <w:rPr>
          <w:rFonts w:asciiTheme="minorHAnsi" w:hAnsiTheme="minorHAnsi" w:cstheme="minorHAnsi"/>
          <w:sz w:val="24"/>
          <w:szCs w:val="24"/>
          <w:lang w:val="fr-FR"/>
        </w:rPr>
        <w:t xml:space="preserve"> avec </w:t>
      </w:r>
      <w:r w:rsidR="00B867A3" w:rsidRPr="006E2F26">
        <w:rPr>
          <w:rFonts w:asciiTheme="minorHAnsi" w:hAnsiTheme="minorHAnsi" w:cstheme="minorHAnsi"/>
          <w:sz w:val="24"/>
          <w:szCs w:val="24"/>
          <w:lang w:val="fr-FR"/>
        </w:rPr>
        <w:t>l</w:t>
      </w:r>
      <w:r w:rsidR="00322265" w:rsidRPr="006E2F26">
        <w:rPr>
          <w:rFonts w:asciiTheme="minorHAnsi" w:hAnsiTheme="minorHAnsi" w:cstheme="minorHAnsi"/>
          <w:sz w:val="24"/>
          <w:szCs w:val="24"/>
          <w:lang w:val="fr-FR"/>
        </w:rPr>
        <w:t>’A.S.B.L.</w:t>
      </w:r>
      <w:r w:rsidRPr="006E2F26">
        <w:rPr>
          <w:rFonts w:asciiTheme="minorHAnsi" w:hAnsiTheme="minorHAnsi" w:cstheme="minorHAnsi"/>
          <w:sz w:val="24"/>
          <w:szCs w:val="24"/>
          <w:lang w:val="fr-FR"/>
        </w:rPr>
        <w:t xml:space="preserve"> débutant le 1</w:t>
      </w:r>
      <w:r w:rsidRPr="006E2F26">
        <w:rPr>
          <w:rFonts w:asciiTheme="minorHAnsi" w:hAnsiTheme="minorHAnsi" w:cstheme="minorHAnsi"/>
          <w:sz w:val="24"/>
          <w:szCs w:val="24"/>
          <w:vertAlign w:val="superscript"/>
          <w:lang w:val="fr-FR"/>
        </w:rPr>
        <w:t>er</w:t>
      </w:r>
      <w:r w:rsidRPr="006E2F26">
        <w:rPr>
          <w:rFonts w:asciiTheme="minorHAnsi" w:hAnsiTheme="minorHAnsi" w:cstheme="minorHAnsi"/>
          <w:sz w:val="24"/>
          <w:szCs w:val="24"/>
          <w:lang w:val="fr-FR"/>
        </w:rPr>
        <w:t xml:space="preserve"> janvier 2016, un avenant a été signé entre les parties le 4 janvier 2016.</w:t>
      </w:r>
    </w:p>
    <w:p w14:paraId="7A411A7E" w14:textId="77777777" w:rsidR="00B47B8B" w:rsidRPr="006E2F26" w:rsidRDefault="00B47B8B" w:rsidP="00B47B8B">
      <w:pPr>
        <w:pStyle w:val="Textebrut"/>
        <w:tabs>
          <w:tab w:val="left" w:pos="1843"/>
        </w:tabs>
        <w:jc w:val="both"/>
        <w:rPr>
          <w:rFonts w:asciiTheme="minorHAnsi" w:hAnsiTheme="minorHAnsi" w:cstheme="minorHAnsi"/>
          <w:sz w:val="24"/>
          <w:szCs w:val="24"/>
          <w:lang w:val="fr-FR"/>
        </w:rPr>
      </w:pPr>
    </w:p>
    <w:p w14:paraId="2EA25F5E" w14:textId="77777777" w:rsidR="00B47B8B" w:rsidRPr="006E2F26" w:rsidRDefault="00B47B8B" w:rsidP="00B47B8B">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Il avait pour objet : </w:t>
      </w:r>
    </w:p>
    <w:p w14:paraId="26315BE9" w14:textId="77777777" w:rsidR="00B47B8B" w:rsidRPr="006E2F26" w:rsidRDefault="00B47B8B" w:rsidP="00B47B8B">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w:t>
      </w:r>
      <w:r w:rsidR="004A23B6" w:rsidRPr="006E2F26">
        <w:rPr>
          <w:rFonts w:asciiTheme="minorHAnsi" w:hAnsiTheme="minorHAnsi" w:cstheme="minorHAnsi"/>
          <w:i/>
          <w:sz w:val="24"/>
          <w:szCs w:val="24"/>
          <w:lang w:val="fr-FR"/>
        </w:rPr>
        <w:t>de garantir le remboursement par l’employé du montant de la note de crédit n°01 qu’il a établie en date du 21 décembre 2015, pour un montant de 31.707, 90 € (…). Cet avoir est consécutif à la requalification des montants imposés par la TVA durant la période d’activité de « l’employé » comme indépendant au sein de l’association</w:t>
      </w:r>
      <w:r w:rsidR="004A23B6" w:rsidRPr="006E2F26">
        <w:rPr>
          <w:rFonts w:asciiTheme="minorHAnsi" w:hAnsiTheme="minorHAnsi" w:cstheme="minorHAnsi"/>
          <w:sz w:val="24"/>
          <w:szCs w:val="24"/>
          <w:lang w:val="fr-FR"/>
        </w:rPr>
        <w:t> »</w:t>
      </w:r>
    </w:p>
    <w:p w14:paraId="4E9FCD6A" w14:textId="77777777" w:rsidR="00B47B8B" w:rsidRPr="006E2F26" w:rsidRDefault="00B47B8B" w:rsidP="00B47B8B">
      <w:pPr>
        <w:pStyle w:val="Textebrut"/>
        <w:tabs>
          <w:tab w:val="left" w:pos="1843"/>
        </w:tabs>
        <w:jc w:val="both"/>
        <w:rPr>
          <w:rFonts w:asciiTheme="minorHAnsi" w:hAnsiTheme="minorHAnsi" w:cstheme="minorHAnsi"/>
          <w:sz w:val="24"/>
          <w:szCs w:val="24"/>
          <w:lang w:val="fr-FR"/>
        </w:rPr>
      </w:pPr>
    </w:p>
    <w:p w14:paraId="63983831" w14:textId="77777777" w:rsidR="00B47B8B" w:rsidRPr="006E2F26" w:rsidRDefault="00B47B8B" w:rsidP="00B47B8B">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Il prévoyait le mécanisme de remboursement suivant :</w:t>
      </w:r>
    </w:p>
    <w:p w14:paraId="61B0A416" w14:textId="77777777" w:rsidR="00B47B8B" w:rsidRPr="006E2F26" w:rsidRDefault="00B47B8B" w:rsidP="00B47B8B">
      <w:pPr>
        <w:pStyle w:val="Textebrut"/>
        <w:tabs>
          <w:tab w:val="left" w:pos="1843"/>
        </w:tabs>
        <w:jc w:val="both"/>
        <w:rPr>
          <w:rFonts w:asciiTheme="minorHAnsi" w:hAnsiTheme="minorHAnsi" w:cstheme="minorHAnsi"/>
          <w:sz w:val="24"/>
          <w:szCs w:val="24"/>
          <w:lang w:val="fr-FR"/>
        </w:rPr>
      </w:pPr>
    </w:p>
    <w:p w14:paraId="5093DC99" w14:textId="77777777" w:rsidR="00B47B8B" w:rsidRPr="006E2F26" w:rsidRDefault="00B47B8B" w:rsidP="00B47B8B">
      <w:pPr>
        <w:pStyle w:val="Textebrut"/>
        <w:tabs>
          <w:tab w:val="left" w:pos="1843"/>
        </w:tabs>
        <w:jc w:val="both"/>
        <w:rPr>
          <w:rFonts w:asciiTheme="minorHAnsi" w:hAnsiTheme="minorHAnsi" w:cstheme="minorHAnsi"/>
          <w:i/>
          <w:sz w:val="24"/>
          <w:szCs w:val="24"/>
          <w:lang w:val="fr-FR"/>
        </w:rPr>
      </w:pPr>
      <w:r w:rsidRPr="006E2F26">
        <w:rPr>
          <w:rFonts w:asciiTheme="minorHAnsi" w:hAnsiTheme="minorHAnsi" w:cstheme="minorHAnsi"/>
          <w:sz w:val="24"/>
          <w:szCs w:val="24"/>
          <w:lang w:val="fr-FR"/>
        </w:rPr>
        <w:t>« </w:t>
      </w:r>
      <w:r w:rsidRPr="006E2F26">
        <w:rPr>
          <w:rFonts w:asciiTheme="minorHAnsi" w:hAnsiTheme="minorHAnsi" w:cstheme="minorHAnsi"/>
          <w:i/>
          <w:sz w:val="24"/>
          <w:szCs w:val="24"/>
          <w:lang w:val="fr-FR"/>
        </w:rPr>
        <w:t xml:space="preserve">Trois méthodes permettront de rembourser le montant dû: </w:t>
      </w:r>
    </w:p>
    <w:p w14:paraId="5382B60B" w14:textId="56999749" w:rsidR="00B47B8B" w:rsidRPr="006E2F26" w:rsidRDefault="004A23B6" w:rsidP="00B47B8B">
      <w:pPr>
        <w:pStyle w:val="Textebrut"/>
        <w:tabs>
          <w:tab w:val="left" w:pos="1843"/>
        </w:tabs>
        <w:jc w:val="both"/>
        <w:rPr>
          <w:rFonts w:asciiTheme="minorHAnsi" w:hAnsiTheme="minorHAnsi" w:cstheme="minorHAnsi"/>
          <w:i/>
          <w:sz w:val="24"/>
          <w:szCs w:val="24"/>
          <w:lang w:val="fr-FR"/>
        </w:rPr>
      </w:pPr>
      <w:r w:rsidRPr="006E2F26">
        <w:rPr>
          <w:rFonts w:asciiTheme="minorHAnsi" w:hAnsiTheme="minorHAnsi" w:cstheme="minorHAnsi"/>
          <w:i/>
          <w:sz w:val="24"/>
          <w:szCs w:val="24"/>
          <w:lang w:val="fr-FR"/>
        </w:rPr>
        <w:t xml:space="preserve">1. </w:t>
      </w:r>
      <w:r w:rsidR="00B47B8B" w:rsidRPr="006E2F26">
        <w:rPr>
          <w:rFonts w:asciiTheme="minorHAnsi" w:hAnsiTheme="minorHAnsi" w:cstheme="minorHAnsi"/>
          <w:i/>
          <w:sz w:val="24"/>
          <w:szCs w:val="24"/>
          <w:lang w:val="fr-FR"/>
        </w:rPr>
        <w:t xml:space="preserve">par des versements en numéraire effectués par </w:t>
      </w:r>
      <w:r w:rsidR="008C7B4A" w:rsidRPr="006E2F26">
        <w:rPr>
          <w:rFonts w:asciiTheme="minorHAnsi" w:hAnsiTheme="minorHAnsi" w:cstheme="minorHAnsi"/>
          <w:i/>
          <w:sz w:val="24"/>
          <w:szCs w:val="24"/>
          <w:lang w:val="fr-FR"/>
        </w:rPr>
        <w:t>M.</w:t>
      </w:r>
      <w:r w:rsidR="00B47B8B" w:rsidRPr="006E2F26">
        <w:rPr>
          <w:rFonts w:asciiTheme="minorHAnsi" w:hAnsiTheme="minorHAnsi" w:cstheme="minorHAnsi"/>
          <w:i/>
          <w:sz w:val="24"/>
          <w:szCs w:val="24"/>
          <w:lang w:val="fr-FR"/>
        </w:rPr>
        <w:t xml:space="preserve"> </w:t>
      </w:r>
      <w:r w:rsidR="00961229">
        <w:rPr>
          <w:rFonts w:asciiTheme="minorHAnsi" w:hAnsiTheme="minorHAnsi" w:cstheme="minorHAnsi"/>
          <w:i/>
          <w:sz w:val="24"/>
          <w:szCs w:val="24"/>
          <w:lang w:val="fr-FR"/>
        </w:rPr>
        <w:t>M</w:t>
      </w:r>
      <w:r w:rsidR="00B47B8B" w:rsidRPr="006E2F26">
        <w:rPr>
          <w:rFonts w:asciiTheme="minorHAnsi" w:hAnsiTheme="minorHAnsi" w:cstheme="minorHAnsi"/>
          <w:i/>
          <w:sz w:val="24"/>
          <w:szCs w:val="24"/>
          <w:lang w:val="fr-FR"/>
        </w:rPr>
        <w:t xml:space="preserve"> sur le compte bancaire de l'APIT </w:t>
      </w:r>
    </w:p>
    <w:p w14:paraId="588EA361" w14:textId="77777777" w:rsidR="00B47B8B" w:rsidRPr="006E2F26" w:rsidRDefault="00B47B8B" w:rsidP="00B47B8B">
      <w:pPr>
        <w:pStyle w:val="Textebrut"/>
        <w:tabs>
          <w:tab w:val="left" w:pos="1843"/>
        </w:tabs>
        <w:jc w:val="both"/>
        <w:rPr>
          <w:rFonts w:asciiTheme="minorHAnsi" w:hAnsiTheme="minorHAnsi" w:cstheme="minorHAnsi"/>
          <w:i/>
          <w:sz w:val="24"/>
          <w:szCs w:val="24"/>
          <w:lang w:val="fr-FR"/>
        </w:rPr>
      </w:pPr>
      <w:r w:rsidRPr="006E2F26">
        <w:rPr>
          <w:rFonts w:asciiTheme="minorHAnsi" w:hAnsiTheme="minorHAnsi" w:cstheme="minorHAnsi"/>
          <w:i/>
          <w:sz w:val="24"/>
          <w:szCs w:val="24"/>
          <w:lang w:val="fr-FR"/>
        </w:rPr>
        <w:t>2.</w:t>
      </w:r>
      <w:r w:rsidR="004A23B6" w:rsidRPr="006E2F26">
        <w:rPr>
          <w:rFonts w:asciiTheme="minorHAnsi" w:hAnsiTheme="minorHAnsi" w:cstheme="minorHAnsi"/>
          <w:i/>
          <w:sz w:val="24"/>
          <w:szCs w:val="24"/>
          <w:lang w:val="fr-FR"/>
        </w:rPr>
        <w:t xml:space="preserve"> </w:t>
      </w:r>
      <w:r w:rsidRPr="006E2F26">
        <w:rPr>
          <w:rFonts w:asciiTheme="minorHAnsi" w:hAnsiTheme="minorHAnsi" w:cstheme="minorHAnsi"/>
          <w:i/>
          <w:sz w:val="24"/>
          <w:szCs w:val="24"/>
          <w:lang w:val="fr-FR"/>
        </w:rPr>
        <w:t xml:space="preserve">par la prise en charge, annuellement, dans le budget de la Direction Technique d'un montant de 5000€ - cinq mille euros. </w:t>
      </w:r>
    </w:p>
    <w:p w14:paraId="731EA2D7" w14:textId="066EB05E" w:rsidR="00B47B8B" w:rsidRPr="006E2F26" w:rsidRDefault="00EA1534" w:rsidP="00B47B8B">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i/>
          <w:sz w:val="24"/>
          <w:szCs w:val="24"/>
          <w:lang w:val="fr-FR"/>
        </w:rPr>
        <w:t>3. Par</w:t>
      </w:r>
      <w:r w:rsidR="00B47B8B" w:rsidRPr="006E2F26">
        <w:rPr>
          <w:rFonts w:asciiTheme="minorHAnsi" w:hAnsiTheme="minorHAnsi" w:cstheme="minorHAnsi"/>
          <w:i/>
          <w:sz w:val="24"/>
          <w:szCs w:val="24"/>
          <w:lang w:val="fr-FR"/>
        </w:rPr>
        <w:t xml:space="preserve"> la déduction d'un montant calcu</w:t>
      </w:r>
      <w:r w:rsidR="00A116B7" w:rsidRPr="006E2F26">
        <w:rPr>
          <w:rFonts w:asciiTheme="minorHAnsi" w:hAnsiTheme="minorHAnsi" w:cstheme="minorHAnsi"/>
          <w:i/>
          <w:sz w:val="24"/>
          <w:szCs w:val="24"/>
          <w:lang w:val="fr-FR"/>
        </w:rPr>
        <w:t>lé mensuellement correspondant à</w:t>
      </w:r>
      <w:r w:rsidR="00B47B8B" w:rsidRPr="006E2F26">
        <w:rPr>
          <w:rFonts w:asciiTheme="minorHAnsi" w:hAnsiTheme="minorHAnsi" w:cstheme="minorHAnsi"/>
          <w:i/>
          <w:sz w:val="24"/>
          <w:szCs w:val="24"/>
          <w:lang w:val="fr-FR"/>
        </w:rPr>
        <w:t xml:space="preserve"> des prestations supplémentaires réalisées par </w:t>
      </w:r>
      <w:r w:rsidR="008C7B4A" w:rsidRPr="006E2F26">
        <w:rPr>
          <w:rFonts w:asciiTheme="minorHAnsi" w:hAnsiTheme="minorHAnsi" w:cstheme="minorHAnsi"/>
          <w:i/>
          <w:sz w:val="24"/>
          <w:szCs w:val="24"/>
          <w:lang w:val="fr-FR"/>
        </w:rPr>
        <w:t>M.</w:t>
      </w:r>
      <w:r w:rsidR="00A116B7" w:rsidRPr="006E2F26">
        <w:rPr>
          <w:rFonts w:asciiTheme="minorHAnsi" w:hAnsiTheme="minorHAnsi" w:cstheme="minorHAnsi"/>
          <w:i/>
          <w:sz w:val="24"/>
          <w:szCs w:val="24"/>
          <w:lang w:val="fr-FR"/>
        </w:rPr>
        <w:t xml:space="preserve"> </w:t>
      </w:r>
      <w:r w:rsidR="00961229">
        <w:rPr>
          <w:rFonts w:asciiTheme="minorHAnsi" w:hAnsiTheme="minorHAnsi" w:cstheme="minorHAnsi"/>
          <w:i/>
          <w:sz w:val="24"/>
          <w:szCs w:val="24"/>
          <w:lang w:val="fr-FR"/>
        </w:rPr>
        <w:t>M</w:t>
      </w:r>
      <w:r w:rsidR="00A116B7" w:rsidRPr="006E2F26">
        <w:rPr>
          <w:rFonts w:asciiTheme="minorHAnsi" w:hAnsiTheme="minorHAnsi" w:cstheme="minorHAnsi"/>
          <w:i/>
          <w:sz w:val="24"/>
          <w:szCs w:val="24"/>
          <w:lang w:val="fr-FR"/>
        </w:rPr>
        <w:t xml:space="preserve"> pour le compte d</w:t>
      </w:r>
      <w:r w:rsidR="00B47B8B" w:rsidRPr="006E2F26">
        <w:rPr>
          <w:rFonts w:asciiTheme="minorHAnsi" w:hAnsiTheme="minorHAnsi" w:cstheme="minorHAnsi"/>
          <w:i/>
          <w:sz w:val="24"/>
          <w:szCs w:val="24"/>
          <w:lang w:val="fr-FR"/>
        </w:rPr>
        <w:t>e</w:t>
      </w:r>
      <w:r w:rsidR="00A116B7" w:rsidRPr="006E2F26">
        <w:rPr>
          <w:rFonts w:asciiTheme="minorHAnsi" w:hAnsiTheme="minorHAnsi" w:cstheme="minorHAnsi"/>
          <w:i/>
          <w:sz w:val="24"/>
          <w:szCs w:val="24"/>
          <w:lang w:val="fr-FR"/>
        </w:rPr>
        <w:t xml:space="preserve"> l'AFTT et qui seront valorisée à 240 €</w:t>
      </w:r>
      <w:r w:rsidR="00B47B8B" w:rsidRPr="006E2F26">
        <w:rPr>
          <w:rFonts w:asciiTheme="minorHAnsi" w:hAnsiTheme="minorHAnsi" w:cstheme="minorHAnsi"/>
          <w:i/>
          <w:sz w:val="24"/>
          <w:szCs w:val="24"/>
          <w:lang w:val="fr-FR"/>
        </w:rPr>
        <w:t xml:space="preserve"> (deux cent quarante euros) la journée </w:t>
      </w:r>
      <w:r w:rsidR="00B47B8B" w:rsidRPr="006E2F26">
        <w:rPr>
          <w:rFonts w:asciiTheme="minorHAnsi" w:hAnsiTheme="minorHAnsi" w:cstheme="minorHAnsi"/>
          <w:sz w:val="24"/>
          <w:szCs w:val="24"/>
          <w:lang w:val="fr-FR"/>
        </w:rPr>
        <w:t>»</w:t>
      </w:r>
    </w:p>
    <w:p w14:paraId="795A13CE" w14:textId="77777777" w:rsidR="00A116B7" w:rsidRPr="006E2F26" w:rsidRDefault="00A116B7" w:rsidP="00B47B8B">
      <w:pPr>
        <w:pStyle w:val="Textebrut"/>
        <w:tabs>
          <w:tab w:val="left" w:pos="1843"/>
        </w:tabs>
        <w:jc w:val="both"/>
        <w:rPr>
          <w:rFonts w:asciiTheme="minorHAnsi" w:hAnsiTheme="minorHAnsi" w:cstheme="minorHAnsi"/>
          <w:sz w:val="24"/>
          <w:szCs w:val="24"/>
          <w:lang w:val="fr-FR"/>
        </w:rPr>
      </w:pPr>
    </w:p>
    <w:p w14:paraId="0FB6AFDD" w14:textId="77777777" w:rsidR="00693289" w:rsidRPr="006E2F26" w:rsidRDefault="00693289" w:rsidP="00693289">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La loi relative à la </w:t>
      </w:r>
      <w:r w:rsidR="00A116B7" w:rsidRPr="006E2F26">
        <w:rPr>
          <w:rFonts w:asciiTheme="minorHAnsi" w:hAnsiTheme="minorHAnsi" w:cstheme="minorHAnsi"/>
          <w:sz w:val="24"/>
          <w:szCs w:val="24"/>
          <w:lang w:val="fr-FR"/>
        </w:rPr>
        <w:t>protection</w:t>
      </w:r>
      <w:r w:rsidRPr="006E2F26">
        <w:rPr>
          <w:rFonts w:asciiTheme="minorHAnsi" w:hAnsiTheme="minorHAnsi" w:cstheme="minorHAnsi"/>
          <w:sz w:val="24"/>
          <w:szCs w:val="24"/>
          <w:lang w:val="fr-FR"/>
        </w:rPr>
        <w:t xml:space="preserve"> de la rémunération prévoit que seuls peuvent être imputés sur la rémunération du travailleur :</w:t>
      </w:r>
    </w:p>
    <w:p w14:paraId="6E8565A8" w14:textId="77777777" w:rsidR="00693289" w:rsidRPr="006E2F26" w:rsidRDefault="00693289" w:rsidP="00693289">
      <w:pPr>
        <w:pStyle w:val="Textebrut"/>
        <w:tabs>
          <w:tab w:val="left" w:pos="1843"/>
        </w:tabs>
        <w:jc w:val="both"/>
        <w:rPr>
          <w:rFonts w:asciiTheme="minorHAnsi" w:hAnsiTheme="minorHAnsi" w:cstheme="minorHAnsi"/>
          <w:i/>
          <w:sz w:val="24"/>
          <w:szCs w:val="24"/>
          <w:lang w:val="fr-FR"/>
        </w:rPr>
      </w:pPr>
      <w:r w:rsidRPr="006E2F26">
        <w:rPr>
          <w:rFonts w:asciiTheme="minorHAnsi" w:hAnsiTheme="minorHAnsi" w:cstheme="minorHAnsi"/>
          <w:sz w:val="24"/>
          <w:szCs w:val="24"/>
          <w:lang w:val="fr-FR"/>
        </w:rPr>
        <w:t xml:space="preserve"> «  </w:t>
      </w:r>
      <w:r w:rsidRPr="006E2F26">
        <w:rPr>
          <w:rFonts w:asciiTheme="minorHAnsi" w:hAnsiTheme="minorHAnsi" w:cstheme="minorHAnsi"/>
          <w:i/>
          <w:sz w:val="24"/>
          <w:szCs w:val="24"/>
          <w:lang w:val="fr-FR"/>
        </w:rPr>
        <w:t>1° les retenues effectuées en application de la législation fiscale, de la législation relative à la sécurité sociale et en application des conventions particulières ou collectives concernant les avantages complémentaires de sécurité sociale:</w:t>
      </w:r>
    </w:p>
    <w:p w14:paraId="0E99DCF7" w14:textId="77777777" w:rsidR="00693289" w:rsidRPr="006E2F26" w:rsidRDefault="00693289" w:rsidP="00693289">
      <w:pPr>
        <w:pStyle w:val="Textebrut"/>
        <w:tabs>
          <w:tab w:val="left" w:pos="1843"/>
        </w:tabs>
        <w:jc w:val="both"/>
        <w:rPr>
          <w:rFonts w:asciiTheme="minorHAnsi" w:hAnsiTheme="minorHAnsi" w:cstheme="minorHAnsi"/>
          <w:i/>
          <w:sz w:val="24"/>
          <w:szCs w:val="24"/>
          <w:lang w:val="fr-FR"/>
        </w:rPr>
      </w:pPr>
      <w:r w:rsidRPr="006E2F26">
        <w:rPr>
          <w:rFonts w:asciiTheme="minorHAnsi" w:hAnsiTheme="minorHAnsi" w:cstheme="minorHAnsi"/>
          <w:i/>
          <w:sz w:val="24"/>
          <w:szCs w:val="24"/>
          <w:lang w:val="fr-FR"/>
        </w:rPr>
        <w:t xml:space="preserve">  2° les amendes infligées en vertu du règlement d'atelier;</w:t>
      </w:r>
    </w:p>
    <w:p w14:paraId="3FBE97D1" w14:textId="77777777" w:rsidR="00693289" w:rsidRPr="006E2F26" w:rsidRDefault="00693289" w:rsidP="00693289">
      <w:pPr>
        <w:pStyle w:val="Textebrut"/>
        <w:tabs>
          <w:tab w:val="left" w:pos="1843"/>
        </w:tabs>
        <w:jc w:val="both"/>
        <w:rPr>
          <w:rFonts w:asciiTheme="minorHAnsi" w:hAnsiTheme="minorHAnsi" w:cstheme="minorHAnsi"/>
          <w:i/>
          <w:sz w:val="24"/>
          <w:szCs w:val="24"/>
          <w:lang w:val="fr-FR"/>
        </w:rPr>
      </w:pPr>
      <w:r w:rsidRPr="006E2F26">
        <w:rPr>
          <w:rFonts w:asciiTheme="minorHAnsi" w:hAnsiTheme="minorHAnsi" w:cstheme="minorHAnsi"/>
          <w:i/>
          <w:sz w:val="24"/>
          <w:szCs w:val="24"/>
          <w:lang w:val="fr-FR"/>
        </w:rPr>
        <w:t xml:space="preserve">  3° les indemnités et dédommagements, </w:t>
      </w:r>
      <w:r w:rsidR="00EA1534" w:rsidRPr="006E2F26">
        <w:rPr>
          <w:rFonts w:asciiTheme="minorHAnsi" w:hAnsiTheme="minorHAnsi" w:cstheme="minorHAnsi"/>
          <w:i/>
          <w:sz w:val="24"/>
          <w:szCs w:val="24"/>
          <w:lang w:val="fr-FR"/>
        </w:rPr>
        <w:t>dus</w:t>
      </w:r>
      <w:r w:rsidRPr="006E2F26">
        <w:rPr>
          <w:rFonts w:asciiTheme="minorHAnsi" w:hAnsiTheme="minorHAnsi" w:cstheme="minorHAnsi"/>
          <w:i/>
          <w:sz w:val="24"/>
          <w:szCs w:val="24"/>
          <w:lang w:val="fr-FR"/>
        </w:rPr>
        <w:t xml:space="preserve"> en exécution de l'article 18 de la loi du 3 juillet 1978 relative aux contrats de travail et de l'article 24 de la loi du 1er avril 1936 sur les contrats d'engagement pour le service des bâtiments de navigation intérieure et de l'article 5 de la loi du 10 février 2003 relative à la responsabilité des et pour les membres du personnel au service des personnes publiques.</w:t>
      </w:r>
    </w:p>
    <w:p w14:paraId="0DD30D96" w14:textId="77777777" w:rsidR="00693289" w:rsidRPr="006E2F26" w:rsidRDefault="00693289" w:rsidP="00693289">
      <w:pPr>
        <w:pStyle w:val="Textebrut"/>
        <w:tabs>
          <w:tab w:val="left" w:pos="1843"/>
        </w:tabs>
        <w:jc w:val="both"/>
        <w:rPr>
          <w:rFonts w:asciiTheme="minorHAnsi" w:hAnsiTheme="minorHAnsi" w:cstheme="minorHAnsi"/>
          <w:i/>
          <w:sz w:val="24"/>
          <w:szCs w:val="24"/>
          <w:lang w:val="fr-FR"/>
        </w:rPr>
      </w:pPr>
      <w:r w:rsidRPr="006E2F26">
        <w:rPr>
          <w:rFonts w:asciiTheme="minorHAnsi" w:hAnsiTheme="minorHAnsi" w:cstheme="minorHAnsi"/>
          <w:i/>
          <w:sz w:val="24"/>
          <w:szCs w:val="24"/>
          <w:lang w:val="fr-FR"/>
        </w:rPr>
        <w:t xml:space="preserve">  4° les avances en argent faites par l'employeur;</w:t>
      </w:r>
    </w:p>
    <w:p w14:paraId="74BCF31A" w14:textId="77777777" w:rsidR="00693289" w:rsidRPr="006E2F26" w:rsidRDefault="00693289" w:rsidP="00693289">
      <w:pPr>
        <w:pStyle w:val="Textebrut"/>
        <w:tabs>
          <w:tab w:val="left" w:pos="1843"/>
        </w:tabs>
        <w:jc w:val="both"/>
        <w:rPr>
          <w:rFonts w:asciiTheme="minorHAnsi" w:hAnsiTheme="minorHAnsi" w:cstheme="minorHAnsi"/>
          <w:i/>
          <w:sz w:val="24"/>
          <w:szCs w:val="24"/>
          <w:lang w:val="fr-FR"/>
        </w:rPr>
      </w:pPr>
      <w:r w:rsidRPr="006E2F26">
        <w:rPr>
          <w:rFonts w:asciiTheme="minorHAnsi" w:hAnsiTheme="minorHAnsi" w:cstheme="minorHAnsi"/>
          <w:i/>
          <w:sz w:val="24"/>
          <w:szCs w:val="24"/>
          <w:lang w:val="fr-FR"/>
        </w:rPr>
        <w:t xml:space="preserve">  5° le cautionnement destiné à garantir l'exécution des obligations du travailleur;</w:t>
      </w:r>
    </w:p>
    <w:p w14:paraId="0FC734D1" w14:textId="77777777" w:rsidR="00693289" w:rsidRPr="006E2F26" w:rsidRDefault="00693289" w:rsidP="00693289">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i/>
          <w:sz w:val="24"/>
          <w:szCs w:val="24"/>
          <w:lang w:val="fr-FR"/>
        </w:rPr>
        <w:t xml:space="preserve">  6° la rémunération payée en trop au travailleur occupé en application d'un horaire flottant visé à l'article 20ter de la loi du 16 mars 1971 sur le travail qui n'a pas récupéré </w:t>
      </w:r>
      <w:r w:rsidRPr="006E2F26">
        <w:rPr>
          <w:rFonts w:asciiTheme="minorHAnsi" w:hAnsiTheme="minorHAnsi" w:cstheme="minorHAnsi"/>
          <w:i/>
          <w:sz w:val="24"/>
          <w:szCs w:val="24"/>
          <w:lang w:val="fr-FR"/>
        </w:rPr>
        <w:lastRenderedPageBreak/>
        <w:t>à temps les heures prestées en moins par rapport à la durée hebdomadaire moyenne de travail à la fin de la période de référence ou lorsque le contrat de travail prend fin</w:t>
      </w:r>
      <w:r w:rsidRPr="006E2F26">
        <w:rPr>
          <w:rStyle w:val="Appelnotedebasdep"/>
          <w:rFonts w:asciiTheme="minorHAnsi" w:hAnsiTheme="minorHAnsi" w:cstheme="minorHAnsi"/>
          <w:i/>
          <w:sz w:val="24"/>
          <w:szCs w:val="24"/>
          <w:lang w:val="fr-FR"/>
        </w:rPr>
        <w:footnoteReference w:id="29"/>
      </w:r>
      <w:r w:rsidRPr="006E2F26">
        <w:rPr>
          <w:rFonts w:asciiTheme="minorHAnsi" w:hAnsiTheme="minorHAnsi" w:cstheme="minorHAnsi"/>
          <w:sz w:val="24"/>
          <w:szCs w:val="24"/>
          <w:lang w:val="fr-FR"/>
        </w:rPr>
        <w:t xml:space="preserve"> ».</w:t>
      </w:r>
    </w:p>
    <w:p w14:paraId="6841FFE1" w14:textId="77777777" w:rsidR="00A116B7" w:rsidRPr="006E2F26" w:rsidRDefault="00A116B7" w:rsidP="00B47B8B">
      <w:pPr>
        <w:pStyle w:val="Textebrut"/>
        <w:tabs>
          <w:tab w:val="left" w:pos="1843"/>
        </w:tabs>
        <w:jc w:val="both"/>
        <w:rPr>
          <w:rFonts w:asciiTheme="minorHAnsi" w:hAnsiTheme="minorHAnsi" w:cstheme="minorHAnsi"/>
          <w:sz w:val="24"/>
          <w:szCs w:val="24"/>
          <w:lang w:val="fr-FR"/>
        </w:rPr>
      </w:pPr>
    </w:p>
    <w:p w14:paraId="47023F4B" w14:textId="7FDEFFB4" w:rsidR="00A116B7" w:rsidRPr="006E2F26" w:rsidRDefault="00A116B7" w:rsidP="00B47B8B">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L’avenant en ce qu’il prévoit la déduction d'un montant calculé mensuellement correspondant à des prestations supplémentaires réalisées par </w:t>
      </w:r>
      <w:r w:rsidR="008C7B4A" w:rsidRPr="006E2F26">
        <w:rPr>
          <w:rFonts w:asciiTheme="minorHAnsi" w:hAnsiTheme="minorHAnsi" w:cstheme="minorHAnsi"/>
          <w:sz w:val="24"/>
          <w:szCs w:val="24"/>
          <w:lang w:val="fr-FR"/>
        </w:rPr>
        <w:t>M.</w:t>
      </w:r>
      <w:r w:rsidRPr="006E2F26">
        <w:rPr>
          <w:rFonts w:asciiTheme="minorHAnsi" w:hAnsiTheme="minorHAnsi" w:cstheme="minorHAnsi"/>
          <w:sz w:val="24"/>
          <w:szCs w:val="24"/>
          <w:lang w:val="fr-FR"/>
        </w:rPr>
        <w:t xml:space="preserve"> </w:t>
      </w:r>
      <w:r w:rsidR="00961229">
        <w:rPr>
          <w:rFonts w:asciiTheme="minorHAnsi" w:hAnsiTheme="minorHAnsi" w:cstheme="minorHAnsi"/>
          <w:caps/>
          <w:sz w:val="24"/>
          <w:szCs w:val="24"/>
          <w:lang w:val="fr-FR"/>
        </w:rPr>
        <w:t>M</w:t>
      </w:r>
      <w:r w:rsidRPr="006E2F26">
        <w:rPr>
          <w:rFonts w:asciiTheme="minorHAnsi" w:hAnsiTheme="minorHAnsi" w:cstheme="minorHAnsi"/>
          <w:sz w:val="24"/>
          <w:szCs w:val="24"/>
          <w:lang w:val="fr-FR"/>
        </w:rPr>
        <w:t xml:space="preserve"> pour</w:t>
      </w:r>
      <w:r w:rsidR="00A61E6D">
        <w:rPr>
          <w:rFonts w:asciiTheme="minorHAnsi" w:hAnsiTheme="minorHAnsi" w:cstheme="minorHAnsi"/>
          <w:sz w:val="24"/>
          <w:szCs w:val="24"/>
          <w:lang w:val="fr-FR"/>
        </w:rPr>
        <w:t xml:space="preserve"> </w:t>
      </w:r>
      <w:r w:rsidRPr="006E2F26">
        <w:rPr>
          <w:rFonts w:asciiTheme="minorHAnsi" w:hAnsiTheme="minorHAnsi" w:cstheme="minorHAnsi"/>
          <w:sz w:val="24"/>
          <w:szCs w:val="24"/>
          <w:lang w:val="fr-FR"/>
        </w:rPr>
        <w:t xml:space="preserve">le compte de l'AFTT et qui seront valorisée à 240 € la journée </w:t>
      </w:r>
      <w:r w:rsidR="00442166">
        <w:rPr>
          <w:rFonts w:asciiTheme="minorHAnsi" w:hAnsiTheme="minorHAnsi" w:cstheme="minorHAnsi"/>
          <w:sz w:val="24"/>
          <w:szCs w:val="24"/>
          <w:lang w:val="fr-FR"/>
        </w:rPr>
        <w:t xml:space="preserve">en vue de rembourser ce montant, est donc contraire à cet </w:t>
      </w:r>
      <w:r w:rsidR="00A61E6D">
        <w:rPr>
          <w:rFonts w:asciiTheme="minorHAnsi" w:hAnsiTheme="minorHAnsi" w:cstheme="minorHAnsi"/>
          <w:sz w:val="24"/>
          <w:szCs w:val="24"/>
          <w:lang w:val="fr-FR"/>
        </w:rPr>
        <w:t>article 23. Il doit donc être déclaré comme nul.</w:t>
      </w:r>
    </w:p>
    <w:p w14:paraId="3C42F0F2" w14:textId="77777777" w:rsidR="00A116B7" w:rsidRPr="006E2F26" w:rsidRDefault="00A116B7" w:rsidP="00340823">
      <w:pPr>
        <w:pStyle w:val="Textebrut"/>
        <w:tabs>
          <w:tab w:val="left" w:pos="1843"/>
        </w:tabs>
        <w:jc w:val="both"/>
        <w:rPr>
          <w:rFonts w:asciiTheme="minorHAnsi" w:hAnsiTheme="minorHAnsi" w:cstheme="minorHAnsi"/>
          <w:sz w:val="24"/>
          <w:szCs w:val="24"/>
          <w:lang w:val="fr-FR"/>
        </w:rPr>
      </w:pPr>
    </w:p>
    <w:p w14:paraId="6F223F70" w14:textId="2F06FB6A" w:rsidR="00A116B7" w:rsidRPr="006E2F26" w:rsidRDefault="00A116B7"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Néanmoins, pour pouvoir prétendre au remboursement de cette somme, </w:t>
      </w:r>
      <w:r w:rsidR="008C7B4A" w:rsidRPr="006E2F26">
        <w:rPr>
          <w:rFonts w:asciiTheme="minorHAnsi" w:hAnsiTheme="minorHAnsi" w:cstheme="minorHAnsi"/>
          <w:sz w:val="24"/>
          <w:szCs w:val="24"/>
          <w:lang w:val="fr-FR"/>
        </w:rPr>
        <w:t>M.</w:t>
      </w:r>
      <w:r w:rsidR="00322265" w:rsidRPr="006E2F26">
        <w:rPr>
          <w:rFonts w:asciiTheme="minorHAnsi" w:hAnsiTheme="minorHAnsi" w:cstheme="minorHAnsi"/>
          <w:sz w:val="24"/>
          <w:szCs w:val="24"/>
          <w:lang w:val="fr-FR"/>
        </w:rPr>
        <w:t xml:space="preserve"> </w:t>
      </w:r>
      <w:r w:rsidR="00961229">
        <w:rPr>
          <w:rFonts w:asciiTheme="minorHAnsi" w:hAnsiTheme="minorHAnsi" w:cstheme="minorHAnsi"/>
          <w:sz w:val="24"/>
          <w:szCs w:val="24"/>
          <w:lang w:val="fr-FR"/>
        </w:rPr>
        <w:t>M</w:t>
      </w:r>
      <w:r w:rsidRPr="006E2F26">
        <w:rPr>
          <w:rFonts w:asciiTheme="minorHAnsi" w:hAnsiTheme="minorHAnsi" w:cstheme="minorHAnsi"/>
          <w:sz w:val="24"/>
          <w:szCs w:val="24"/>
          <w:lang w:val="fr-FR"/>
        </w:rPr>
        <w:t xml:space="preserve"> doit pouvoir prouver qu’elle lui a été </w:t>
      </w:r>
      <w:r w:rsidR="00CB205E" w:rsidRPr="006E2F26">
        <w:rPr>
          <w:rFonts w:asciiTheme="minorHAnsi" w:hAnsiTheme="minorHAnsi" w:cstheme="minorHAnsi"/>
          <w:sz w:val="24"/>
          <w:szCs w:val="24"/>
          <w:lang w:val="fr-FR"/>
        </w:rPr>
        <w:t>effectivement retenue</w:t>
      </w:r>
      <w:r w:rsidRPr="006E2F26">
        <w:rPr>
          <w:rFonts w:asciiTheme="minorHAnsi" w:hAnsiTheme="minorHAnsi" w:cstheme="minorHAnsi"/>
          <w:sz w:val="24"/>
          <w:szCs w:val="24"/>
          <w:lang w:val="fr-FR"/>
        </w:rPr>
        <w:t>. Il doit donc démontrer qu’il a presté des heures supplémentaires, que celles-ci ne lui ont pas été payées ou qu’elles n’ont pas été récupérées.</w:t>
      </w:r>
    </w:p>
    <w:p w14:paraId="0FE8AF7D" w14:textId="77777777" w:rsidR="00A116B7" w:rsidRPr="006E2F26" w:rsidRDefault="00A116B7" w:rsidP="00340823">
      <w:pPr>
        <w:pStyle w:val="Textebrut"/>
        <w:tabs>
          <w:tab w:val="left" w:pos="1843"/>
        </w:tabs>
        <w:jc w:val="both"/>
        <w:rPr>
          <w:rFonts w:asciiTheme="minorHAnsi" w:hAnsiTheme="minorHAnsi" w:cstheme="minorHAnsi"/>
          <w:sz w:val="24"/>
          <w:szCs w:val="24"/>
          <w:lang w:val="fr-FR"/>
        </w:rPr>
      </w:pPr>
    </w:p>
    <w:p w14:paraId="6CA1155D" w14:textId="10DDAB46" w:rsidR="00A116B7" w:rsidRPr="006E2F26" w:rsidRDefault="00A116B7"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Pour ce faire, </w:t>
      </w:r>
      <w:r w:rsidR="008C7B4A" w:rsidRPr="006E2F26">
        <w:rPr>
          <w:rFonts w:asciiTheme="minorHAnsi" w:hAnsiTheme="minorHAnsi" w:cstheme="minorHAnsi"/>
          <w:sz w:val="24"/>
          <w:szCs w:val="24"/>
          <w:lang w:val="fr-FR"/>
        </w:rPr>
        <w:t>M.</w:t>
      </w:r>
      <w:r w:rsidR="00322265" w:rsidRPr="006E2F26">
        <w:rPr>
          <w:rFonts w:asciiTheme="minorHAnsi" w:hAnsiTheme="minorHAnsi" w:cstheme="minorHAnsi"/>
          <w:sz w:val="24"/>
          <w:szCs w:val="24"/>
          <w:lang w:val="fr-FR"/>
        </w:rPr>
        <w:t xml:space="preserve"> </w:t>
      </w:r>
      <w:r w:rsidR="00961229">
        <w:rPr>
          <w:rFonts w:asciiTheme="minorHAnsi" w:hAnsiTheme="minorHAnsi" w:cstheme="minorHAnsi"/>
          <w:sz w:val="24"/>
          <w:szCs w:val="24"/>
          <w:lang w:val="fr-FR"/>
        </w:rPr>
        <w:t>M</w:t>
      </w:r>
      <w:r w:rsidRPr="006E2F26">
        <w:rPr>
          <w:rFonts w:asciiTheme="minorHAnsi" w:hAnsiTheme="minorHAnsi" w:cstheme="minorHAnsi"/>
          <w:sz w:val="24"/>
          <w:szCs w:val="24"/>
          <w:lang w:val="fr-FR"/>
        </w:rPr>
        <w:t xml:space="preserve"> se base sur :</w:t>
      </w:r>
    </w:p>
    <w:p w14:paraId="7ABD9182" w14:textId="77777777" w:rsidR="005A329B" w:rsidRPr="006E2F26" w:rsidRDefault="00C469B9" w:rsidP="00C469B9">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 </w:t>
      </w:r>
      <w:r w:rsidR="005A329B" w:rsidRPr="006E2F26">
        <w:rPr>
          <w:rFonts w:asciiTheme="minorHAnsi" w:hAnsiTheme="minorHAnsi" w:cstheme="minorHAnsi"/>
          <w:sz w:val="24"/>
          <w:szCs w:val="24"/>
          <w:lang w:val="fr-FR"/>
        </w:rPr>
        <w:t>différents plannings, qui reprennent des compétitions en Belgique ou à l'étranger, avec d'importants déplacements ;</w:t>
      </w:r>
    </w:p>
    <w:p w14:paraId="55842AD3" w14:textId="77777777" w:rsidR="005A329B" w:rsidRPr="006E2F26" w:rsidRDefault="005A329B" w:rsidP="005A329B">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 l'organisation des stages en été sur le site de </w:t>
      </w:r>
      <w:proofErr w:type="spellStart"/>
      <w:r w:rsidRPr="006E2F26">
        <w:rPr>
          <w:rFonts w:asciiTheme="minorHAnsi" w:hAnsiTheme="minorHAnsi" w:cstheme="minorHAnsi"/>
          <w:sz w:val="24"/>
          <w:szCs w:val="24"/>
          <w:lang w:val="fr-FR"/>
        </w:rPr>
        <w:t>Blégny</w:t>
      </w:r>
      <w:proofErr w:type="spellEnd"/>
      <w:r w:rsidRPr="006E2F26">
        <w:rPr>
          <w:rFonts w:asciiTheme="minorHAnsi" w:hAnsiTheme="minorHAnsi" w:cstheme="minorHAnsi"/>
          <w:sz w:val="24"/>
          <w:szCs w:val="24"/>
          <w:lang w:val="fr-FR"/>
        </w:rPr>
        <w:t xml:space="preserve"> ;</w:t>
      </w:r>
    </w:p>
    <w:p w14:paraId="4A6BD192" w14:textId="611705A5" w:rsidR="005A329B" w:rsidRPr="006E2F26" w:rsidRDefault="005A329B" w:rsidP="005A329B">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 le calendrier des compétitions sportives, en Belgique et à l'étranger, auxquelles </w:t>
      </w:r>
      <w:r w:rsidR="008C7B4A" w:rsidRPr="006E2F26">
        <w:rPr>
          <w:rFonts w:asciiTheme="minorHAnsi" w:hAnsiTheme="minorHAnsi" w:cstheme="minorHAnsi"/>
          <w:sz w:val="24"/>
          <w:szCs w:val="24"/>
          <w:lang w:val="fr-FR"/>
        </w:rPr>
        <w:t>M.</w:t>
      </w:r>
      <w:r w:rsidRPr="006E2F26">
        <w:rPr>
          <w:rFonts w:asciiTheme="minorHAnsi" w:hAnsiTheme="minorHAnsi" w:cstheme="minorHAnsi"/>
          <w:sz w:val="24"/>
          <w:szCs w:val="24"/>
          <w:lang w:val="fr-FR"/>
        </w:rPr>
        <w:t xml:space="preserve"> </w:t>
      </w:r>
      <w:proofErr w:type="spellStart"/>
      <w:r w:rsidR="00961229">
        <w:rPr>
          <w:rFonts w:asciiTheme="minorHAnsi" w:hAnsiTheme="minorHAnsi" w:cstheme="minorHAnsi"/>
          <w:sz w:val="24"/>
          <w:szCs w:val="24"/>
          <w:lang w:val="fr-FR"/>
        </w:rPr>
        <w:t>M</w:t>
      </w:r>
      <w:r w:rsidRPr="006E2F26">
        <w:rPr>
          <w:rFonts w:asciiTheme="minorHAnsi" w:hAnsiTheme="minorHAnsi" w:cstheme="minorHAnsi"/>
          <w:sz w:val="24"/>
          <w:szCs w:val="24"/>
          <w:lang w:val="fr-FR"/>
        </w:rPr>
        <w:t xml:space="preserve"> accompagnait</w:t>
      </w:r>
      <w:proofErr w:type="spellEnd"/>
      <w:r w:rsidRPr="006E2F26">
        <w:rPr>
          <w:rFonts w:asciiTheme="minorHAnsi" w:hAnsiTheme="minorHAnsi" w:cstheme="minorHAnsi"/>
          <w:sz w:val="24"/>
          <w:szCs w:val="24"/>
          <w:lang w:val="fr-FR"/>
        </w:rPr>
        <w:t xml:space="preserve"> les joueurs ;</w:t>
      </w:r>
    </w:p>
    <w:p w14:paraId="25539D9D" w14:textId="77777777" w:rsidR="005A329B" w:rsidRPr="006E2F26" w:rsidRDefault="005A329B" w:rsidP="005A329B">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les horaires des entraînements.</w:t>
      </w:r>
    </w:p>
    <w:p w14:paraId="13D26621" w14:textId="77777777" w:rsidR="00A116B7" w:rsidRPr="006E2F26" w:rsidRDefault="00A116B7" w:rsidP="00340823">
      <w:pPr>
        <w:pStyle w:val="Textebrut"/>
        <w:tabs>
          <w:tab w:val="left" w:pos="1843"/>
        </w:tabs>
        <w:jc w:val="both"/>
        <w:rPr>
          <w:rFonts w:asciiTheme="minorHAnsi" w:hAnsiTheme="minorHAnsi" w:cstheme="minorHAnsi"/>
          <w:sz w:val="24"/>
          <w:szCs w:val="24"/>
          <w:lang w:val="fr-FR"/>
        </w:rPr>
      </w:pPr>
    </w:p>
    <w:p w14:paraId="09A4CE84" w14:textId="77777777" w:rsidR="00C129FD" w:rsidRPr="006E2F26" w:rsidRDefault="00C469B9" w:rsidP="00C469B9">
      <w:pPr>
        <w:jc w:val="both"/>
        <w:rPr>
          <w:rFonts w:asciiTheme="minorHAnsi" w:hAnsiTheme="minorHAnsi" w:cstheme="minorHAnsi"/>
          <w:bCs/>
        </w:rPr>
      </w:pPr>
      <w:r w:rsidRPr="006E2F26">
        <w:rPr>
          <w:rFonts w:asciiTheme="minorHAnsi" w:hAnsiTheme="minorHAnsi" w:cstheme="minorHAnsi"/>
          <w:bCs/>
        </w:rPr>
        <w:t>La charge de la preuve des heures supplémentaires incombe au travailleur qui s’en prévaut</w:t>
      </w:r>
      <w:r w:rsidRPr="006E2F26">
        <w:rPr>
          <w:rStyle w:val="Appelnotedebasdep"/>
          <w:rFonts w:asciiTheme="minorHAnsi" w:hAnsiTheme="minorHAnsi" w:cstheme="minorHAnsi"/>
          <w:bCs/>
        </w:rPr>
        <w:footnoteReference w:id="30"/>
      </w:r>
      <w:r w:rsidRPr="006E2F26">
        <w:rPr>
          <w:rFonts w:asciiTheme="minorHAnsi" w:hAnsiTheme="minorHAnsi" w:cstheme="minorHAnsi"/>
          <w:bCs/>
        </w:rPr>
        <w:t xml:space="preserve">. La preuve doit porter non seulement sur l’existence des heures supplémentaires, mais aussi sur leur nombre, et sur la demande ou l’accord de l’employeur. </w:t>
      </w:r>
      <w:r w:rsidR="00C129FD" w:rsidRPr="006E2F26">
        <w:rPr>
          <w:rFonts w:asciiTheme="minorHAnsi" w:hAnsiTheme="minorHAnsi" w:cstheme="minorHAnsi"/>
          <w:bCs/>
        </w:rPr>
        <w:t>Concernant l’existence des heures supplémentaires, le travailleur doit apporter des éléments avec une force probante suffisante. Il doit s’agir d’éléments suffisamment objectifs et précis</w:t>
      </w:r>
      <w:r w:rsidR="00C129FD" w:rsidRPr="006E2F26">
        <w:rPr>
          <w:rStyle w:val="Appelnotedebasdep"/>
          <w:rFonts w:asciiTheme="minorHAnsi" w:hAnsiTheme="minorHAnsi" w:cstheme="minorHAnsi"/>
          <w:bCs/>
        </w:rPr>
        <w:footnoteReference w:id="31"/>
      </w:r>
      <w:r w:rsidR="00C129FD" w:rsidRPr="006E2F26">
        <w:rPr>
          <w:rFonts w:asciiTheme="minorHAnsi" w:hAnsiTheme="minorHAnsi" w:cstheme="minorHAnsi"/>
          <w:bCs/>
        </w:rPr>
        <w:t>.</w:t>
      </w:r>
    </w:p>
    <w:p w14:paraId="12935F38" w14:textId="77777777" w:rsidR="00F745AA" w:rsidRPr="006E2F26" w:rsidRDefault="00F745AA" w:rsidP="00340823">
      <w:pPr>
        <w:pStyle w:val="Textebrut"/>
        <w:tabs>
          <w:tab w:val="left" w:pos="1843"/>
        </w:tabs>
        <w:jc w:val="both"/>
        <w:rPr>
          <w:rFonts w:asciiTheme="minorHAnsi" w:hAnsiTheme="minorHAnsi" w:cstheme="minorHAnsi"/>
          <w:sz w:val="24"/>
          <w:szCs w:val="24"/>
          <w:lang w:val="fr-FR"/>
        </w:rPr>
      </w:pPr>
    </w:p>
    <w:p w14:paraId="3AB8A2D6" w14:textId="0435927E" w:rsidR="00272354" w:rsidRPr="006E2F26" w:rsidRDefault="00F745AA"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Le Tribunal constate toutefois que </w:t>
      </w:r>
      <w:r w:rsidR="008C7B4A" w:rsidRPr="006E2F26">
        <w:rPr>
          <w:rFonts w:asciiTheme="minorHAnsi" w:hAnsiTheme="minorHAnsi" w:cstheme="minorHAnsi"/>
          <w:sz w:val="24"/>
          <w:szCs w:val="24"/>
          <w:lang w:val="fr-FR"/>
        </w:rPr>
        <w:t>M.</w:t>
      </w:r>
      <w:r w:rsidR="00322265" w:rsidRPr="006E2F26">
        <w:rPr>
          <w:rFonts w:asciiTheme="minorHAnsi" w:hAnsiTheme="minorHAnsi" w:cstheme="minorHAnsi"/>
          <w:sz w:val="24"/>
          <w:szCs w:val="24"/>
          <w:lang w:val="fr-FR"/>
        </w:rPr>
        <w:t xml:space="preserve"> </w:t>
      </w:r>
      <w:r w:rsidR="00961229">
        <w:rPr>
          <w:rFonts w:asciiTheme="minorHAnsi" w:hAnsiTheme="minorHAnsi" w:cstheme="minorHAnsi"/>
          <w:sz w:val="24"/>
          <w:szCs w:val="24"/>
          <w:lang w:val="fr-FR"/>
        </w:rPr>
        <w:t>M</w:t>
      </w:r>
      <w:r w:rsidRPr="006E2F26">
        <w:rPr>
          <w:rFonts w:asciiTheme="minorHAnsi" w:hAnsiTheme="minorHAnsi" w:cstheme="minorHAnsi"/>
          <w:sz w:val="24"/>
          <w:szCs w:val="24"/>
          <w:lang w:val="fr-FR"/>
        </w:rPr>
        <w:t xml:space="preserve"> n</w:t>
      </w:r>
      <w:r w:rsidR="00272354" w:rsidRPr="006E2F26">
        <w:rPr>
          <w:rFonts w:asciiTheme="minorHAnsi" w:hAnsiTheme="minorHAnsi" w:cstheme="minorHAnsi"/>
          <w:sz w:val="24"/>
          <w:szCs w:val="24"/>
          <w:lang w:val="fr-FR"/>
        </w:rPr>
        <w:t>e fait pas un relevé précis des heures supplémenta</w:t>
      </w:r>
      <w:r w:rsidRPr="006E2F26">
        <w:rPr>
          <w:rFonts w:asciiTheme="minorHAnsi" w:hAnsiTheme="minorHAnsi" w:cstheme="minorHAnsi"/>
          <w:sz w:val="24"/>
          <w:szCs w:val="24"/>
          <w:lang w:val="fr-FR"/>
        </w:rPr>
        <w:t>ires qui auraient été prestées. Il r</w:t>
      </w:r>
      <w:r w:rsidR="00272354" w:rsidRPr="006E2F26">
        <w:rPr>
          <w:rFonts w:asciiTheme="minorHAnsi" w:hAnsiTheme="minorHAnsi" w:cstheme="minorHAnsi"/>
          <w:sz w:val="24"/>
          <w:szCs w:val="24"/>
          <w:lang w:val="fr-FR"/>
        </w:rPr>
        <w:t>este en défaut de les établir.</w:t>
      </w:r>
      <w:r w:rsidRPr="006E2F26">
        <w:rPr>
          <w:rFonts w:asciiTheme="minorHAnsi" w:hAnsiTheme="minorHAnsi" w:cstheme="minorHAnsi"/>
          <w:sz w:val="24"/>
          <w:szCs w:val="24"/>
          <w:lang w:val="fr-FR"/>
        </w:rPr>
        <w:t xml:space="preserve"> En outre, il ne démontre</w:t>
      </w:r>
      <w:r w:rsidR="00272354" w:rsidRPr="006E2F26">
        <w:rPr>
          <w:rFonts w:asciiTheme="minorHAnsi" w:hAnsiTheme="minorHAnsi" w:cstheme="minorHAnsi"/>
          <w:sz w:val="24"/>
          <w:szCs w:val="24"/>
          <w:lang w:val="fr-FR"/>
        </w:rPr>
        <w:t xml:space="preserve"> pas qu’aucune heure supplémentaire n’aurait été payée (aucune fiche de paie </w:t>
      </w:r>
      <w:r w:rsidR="00C64D14" w:rsidRPr="006E2F26">
        <w:rPr>
          <w:rFonts w:asciiTheme="minorHAnsi" w:hAnsiTheme="minorHAnsi" w:cstheme="minorHAnsi"/>
          <w:sz w:val="24"/>
          <w:szCs w:val="24"/>
          <w:lang w:val="fr-FR"/>
        </w:rPr>
        <w:t xml:space="preserve">n’étant </w:t>
      </w:r>
      <w:r w:rsidR="00272354" w:rsidRPr="006E2F26">
        <w:rPr>
          <w:rFonts w:asciiTheme="minorHAnsi" w:hAnsiTheme="minorHAnsi" w:cstheme="minorHAnsi"/>
          <w:sz w:val="24"/>
          <w:szCs w:val="24"/>
          <w:lang w:val="fr-FR"/>
        </w:rPr>
        <w:t>déposée hormis celles de fin de contrat) ou qu’elles n’auraient pas été récupérées.</w:t>
      </w:r>
    </w:p>
    <w:p w14:paraId="584BCE1F" w14:textId="77777777" w:rsidR="000861C3" w:rsidRPr="006E2F26" w:rsidRDefault="000861C3" w:rsidP="00340823">
      <w:pPr>
        <w:pStyle w:val="Textebrut"/>
        <w:tabs>
          <w:tab w:val="left" w:pos="1843"/>
        </w:tabs>
        <w:jc w:val="both"/>
        <w:rPr>
          <w:rFonts w:asciiTheme="minorHAnsi" w:hAnsiTheme="minorHAnsi" w:cstheme="minorHAnsi"/>
          <w:sz w:val="24"/>
          <w:szCs w:val="24"/>
          <w:lang w:val="fr-FR"/>
        </w:rPr>
      </w:pPr>
    </w:p>
    <w:p w14:paraId="6F2F680E" w14:textId="6C11A83E" w:rsidR="00F745AA" w:rsidRPr="006E2F26" w:rsidRDefault="00F745AA"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La demande de </w:t>
      </w:r>
      <w:r w:rsidR="008C7B4A" w:rsidRPr="006E2F26">
        <w:rPr>
          <w:rFonts w:asciiTheme="minorHAnsi" w:hAnsiTheme="minorHAnsi" w:cstheme="minorHAnsi"/>
          <w:sz w:val="24"/>
          <w:szCs w:val="24"/>
          <w:lang w:val="fr-FR"/>
        </w:rPr>
        <w:t>M.</w:t>
      </w:r>
      <w:r w:rsidR="00322265" w:rsidRPr="006E2F26">
        <w:rPr>
          <w:rFonts w:asciiTheme="minorHAnsi" w:hAnsiTheme="minorHAnsi" w:cstheme="minorHAnsi"/>
          <w:sz w:val="24"/>
          <w:szCs w:val="24"/>
          <w:lang w:val="fr-FR"/>
        </w:rPr>
        <w:t xml:space="preserve"> </w:t>
      </w:r>
      <w:r w:rsidR="00961229">
        <w:rPr>
          <w:rFonts w:asciiTheme="minorHAnsi" w:hAnsiTheme="minorHAnsi" w:cstheme="minorHAnsi"/>
          <w:sz w:val="24"/>
          <w:szCs w:val="24"/>
          <w:lang w:val="fr-FR"/>
        </w:rPr>
        <w:t>M</w:t>
      </w:r>
      <w:r w:rsidRPr="006E2F26">
        <w:rPr>
          <w:rFonts w:asciiTheme="minorHAnsi" w:hAnsiTheme="minorHAnsi" w:cstheme="minorHAnsi"/>
          <w:sz w:val="24"/>
          <w:szCs w:val="24"/>
          <w:lang w:val="fr-FR"/>
        </w:rPr>
        <w:t xml:space="preserve"> doit donc être déclarée non fondée.</w:t>
      </w:r>
    </w:p>
    <w:p w14:paraId="08B7D767" w14:textId="77777777" w:rsidR="000861C3" w:rsidRPr="006E2F26" w:rsidRDefault="000861C3" w:rsidP="00340823">
      <w:pPr>
        <w:pStyle w:val="Textebrut"/>
        <w:tabs>
          <w:tab w:val="left" w:pos="1843"/>
        </w:tabs>
        <w:jc w:val="both"/>
        <w:rPr>
          <w:rFonts w:asciiTheme="minorHAnsi" w:hAnsiTheme="minorHAnsi" w:cstheme="minorHAnsi"/>
          <w:sz w:val="24"/>
          <w:szCs w:val="24"/>
          <w:lang w:val="fr-FR"/>
        </w:rPr>
      </w:pPr>
    </w:p>
    <w:p w14:paraId="0FCF36B4" w14:textId="77777777" w:rsidR="00DB749D" w:rsidRPr="006E2F26" w:rsidRDefault="0085449C" w:rsidP="00340823">
      <w:pPr>
        <w:pStyle w:val="Textebrut"/>
        <w:numPr>
          <w:ilvl w:val="1"/>
          <w:numId w:val="8"/>
        </w:numPr>
        <w:tabs>
          <w:tab w:val="left" w:pos="1843"/>
        </w:tabs>
        <w:jc w:val="both"/>
        <w:rPr>
          <w:rFonts w:asciiTheme="minorHAnsi" w:hAnsiTheme="minorHAnsi" w:cstheme="minorHAnsi"/>
          <w:b/>
          <w:sz w:val="24"/>
          <w:szCs w:val="24"/>
          <w:u w:val="single"/>
          <w:lang w:val="fr-FR"/>
        </w:rPr>
      </w:pPr>
      <w:r w:rsidRPr="006E2F26">
        <w:rPr>
          <w:rFonts w:asciiTheme="minorHAnsi" w:hAnsiTheme="minorHAnsi" w:cstheme="minorHAnsi"/>
          <w:b/>
          <w:sz w:val="24"/>
          <w:szCs w:val="24"/>
          <w:u w:val="single"/>
          <w:lang w:val="fr-FR"/>
        </w:rPr>
        <w:t>Convention collective de travail n°</w:t>
      </w:r>
      <w:r w:rsidR="00DB749D" w:rsidRPr="006E2F26">
        <w:rPr>
          <w:rFonts w:asciiTheme="minorHAnsi" w:hAnsiTheme="minorHAnsi" w:cstheme="minorHAnsi"/>
          <w:b/>
          <w:sz w:val="24"/>
          <w:szCs w:val="24"/>
          <w:u w:val="single"/>
          <w:lang w:val="fr-FR"/>
        </w:rPr>
        <w:t>109</w:t>
      </w:r>
    </w:p>
    <w:p w14:paraId="1B725848" w14:textId="77777777" w:rsidR="00DE119F" w:rsidRPr="006E2F26" w:rsidRDefault="00DE119F" w:rsidP="00340823">
      <w:pPr>
        <w:pStyle w:val="Textebrut"/>
        <w:tabs>
          <w:tab w:val="left" w:pos="1843"/>
        </w:tabs>
        <w:jc w:val="both"/>
        <w:rPr>
          <w:rFonts w:asciiTheme="minorHAnsi" w:hAnsiTheme="minorHAnsi" w:cstheme="minorHAnsi"/>
          <w:sz w:val="24"/>
          <w:szCs w:val="24"/>
          <w:lang w:val="fr-FR"/>
        </w:rPr>
      </w:pPr>
    </w:p>
    <w:p w14:paraId="0CB1812D" w14:textId="77777777" w:rsidR="0085449C" w:rsidRPr="006E2F26" w:rsidRDefault="0085449C" w:rsidP="0085449C">
      <w:pPr>
        <w:rPr>
          <w:rFonts w:asciiTheme="minorHAnsi" w:hAnsiTheme="minorHAnsi" w:cstheme="minorHAnsi"/>
          <w:snapToGrid w:val="0"/>
          <w:u w:val="single"/>
          <w:lang w:eastAsia="fr-FR"/>
        </w:rPr>
      </w:pPr>
      <w:r w:rsidRPr="006E2F26">
        <w:rPr>
          <w:rFonts w:asciiTheme="minorHAnsi" w:hAnsiTheme="minorHAnsi" w:cstheme="minorHAnsi"/>
          <w:snapToGrid w:val="0"/>
          <w:u w:val="single"/>
          <w:lang w:eastAsia="fr-FR"/>
        </w:rPr>
        <w:t>5.3.1. Communication des motifs</w:t>
      </w:r>
    </w:p>
    <w:p w14:paraId="10B5459C" w14:textId="77777777" w:rsidR="0085449C" w:rsidRPr="006E2F26" w:rsidRDefault="0085449C" w:rsidP="0085449C">
      <w:pPr>
        <w:rPr>
          <w:rFonts w:asciiTheme="minorHAnsi" w:hAnsiTheme="minorHAnsi" w:cstheme="minorHAnsi"/>
          <w:snapToGrid w:val="0"/>
          <w:lang w:eastAsia="fr-FR"/>
        </w:rPr>
      </w:pPr>
    </w:p>
    <w:p w14:paraId="153C363C" w14:textId="77777777" w:rsidR="0085449C" w:rsidRPr="006E2F26" w:rsidRDefault="00663DB3" w:rsidP="0085449C">
      <w:pPr>
        <w:rPr>
          <w:rFonts w:asciiTheme="minorHAnsi" w:hAnsiTheme="minorHAnsi" w:cstheme="minorHAnsi"/>
          <w:snapToGrid w:val="0"/>
          <w:u w:val="single"/>
          <w:lang w:eastAsia="fr-FR"/>
        </w:rPr>
      </w:pPr>
      <w:r w:rsidRPr="006E2F26">
        <w:rPr>
          <w:rFonts w:asciiTheme="minorHAnsi" w:hAnsiTheme="minorHAnsi" w:cstheme="minorHAnsi"/>
          <w:snapToGrid w:val="0"/>
          <w:u w:val="single"/>
          <w:lang w:eastAsia="fr-FR"/>
        </w:rPr>
        <w:t>Règles</w:t>
      </w:r>
      <w:r w:rsidR="0085449C" w:rsidRPr="006E2F26">
        <w:rPr>
          <w:rFonts w:asciiTheme="minorHAnsi" w:hAnsiTheme="minorHAnsi" w:cstheme="minorHAnsi"/>
          <w:snapToGrid w:val="0"/>
          <w:u w:val="single"/>
          <w:lang w:eastAsia="fr-FR"/>
        </w:rPr>
        <w:t xml:space="preserve"> applicables</w:t>
      </w:r>
    </w:p>
    <w:p w14:paraId="41F956FE" w14:textId="77777777" w:rsidR="0085449C" w:rsidRPr="006E2F26" w:rsidRDefault="0085449C" w:rsidP="0085449C">
      <w:pPr>
        <w:rPr>
          <w:rFonts w:asciiTheme="minorHAnsi" w:hAnsiTheme="minorHAnsi" w:cstheme="minorHAnsi"/>
          <w:snapToGrid w:val="0"/>
          <w:lang w:eastAsia="fr-FR"/>
        </w:rPr>
      </w:pPr>
    </w:p>
    <w:p w14:paraId="158B14C9" w14:textId="77777777" w:rsidR="0085449C" w:rsidRPr="006E2F26" w:rsidRDefault="0085449C" w:rsidP="0085449C">
      <w:pPr>
        <w:jc w:val="both"/>
        <w:rPr>
          <w:rFonts w:asciiTheme="minorHAnsi" w:hAnsiTheme="minorHAnsi" w:cstheme="minorHAnsi"/>
          <w:snapToGrid w:val="0"/>
          <w:lang w:eastAsia="fr-FR"/>
        </w:rPr>
      </w:pPr>
      <w:r w:rsidRPr="006E2F26">
        <w:rPr>
          <w:rFonts w:asciiTheme="minorHAnsi" w:hAnsiTheme="minorHAnsi" w:cstheme="minorHAnsi"/>
          <w:snapToGrid w:val="0"/>
          <w:lang w:eastAsia="fr-FR"/>
        </w:rPr>
        <w:t xml:space="preserve">Il résulte des articles 4 à 7 de la C.C.T. n°109 du 12 février 2014 concernant la motivation du licenciement que l'employeur est tenu de communiquer au travailleur les motifs </w:t>
      </w:r>
      <w:r w:rsidRPr="006E2F26">
        <w:rPr>
          <w:rFonts w:asciiTheme="minorHAnsi" w:hAnsiTheme="minorHAnsi" w:cstheme="minorHAnsi"/>
          <w:snapToGrid w:val="0"/>
          <w:lang w:eastAsia="fr-FR"/>
        </w:rPr>
        <w:lastRenderedPageBreak/>
        <w:t>concrets qui ont conduit à son licenciement sauf s'il les lui a déjà communiqués de manière spontanée.</w:t>
      </w:r>
    </w:p>
    <w:p w14:paraId="13A91393" w14:textId="77777777" w:rsidR="0085449C" w:rsidRPr="006E2F26" w:rsidRDefault="0085449C" w:rsidP="0085449C">
      <w:pPr>
        <w:jc w:val="both"/>
        <w:rPr>
          <w:rFonts w:asciiTheme="minorHAnsi" w:hAnsiTheme="minorHAnsi" w:cstheme="minorHAnsi"/>
          <w:snapToGrid w:val="0"/>
          <w:lang w:eastAsia="fr-FR"/>
        </w:rPr>
      </w:pPr>
    </w:p>
    <w:p w14:paraId="5860BCDA" w14:textId="77777777" w:rsidR="0085449C" w:rsidRPr="006E2F26" w:rsidRDefault="0085449C" w:rsidP="0085449C">
      <w:pPr>
        <w:jc w:val="both"/>
        <w:rPr>
          <w:rFonts w:asciiTheme="minorHAnsi" w:hAnsiTheme="minorHAnsi" w:cstheme="minorHAnsi"/>
          <w:snapToGrid w:val="0"/>
          <w:lang w:eastAsia="fr-FR"/>
        </w:rPr>
      </w:pPr>
      <w:r w:rsidRPr="006E2F26">
        <w:rPr>
          <w:rFonts w:asciiTheme="minorHAnsi" w:hAnsiTheme="minorHAnsi" w:cstheme="minorHAnsi"/>
          <w:snapToGrid w:val="0"/>
          <w:lang w:eastAsia="fr-FR"/>
        </w:rPr>
        <w:t>Le travailleur qui souhaite connaître les motifs concrets qui ont conduit à son licenciement adresse donc sa demande à l'employeur par lettre recommandée dans un délai de deux mois après que le contrat de travail ait pris fin.</w:t>
      </w:r>
    </w:p>
    <w:p w14:paraId="1239D7DB" w14:textId="77777777" w:rsidR="0085449C" w:rsidRPr="006E2F26" w:rsidRDefault="0085449C" w:rsidP="0085449C">
      <w:pPr>
        <w:jc w:val="both"/>
        <w:rPr>
          <w:rFonts w:asciiTheme="minorHAnsi" w:hAnsiTheme="minorHAnsi" w:cstheme="minorHAnsi"/>
          <w:snapToGrid w:val="0"/>
          <w:lang w:eastAsia="fr-FR"/>
        </w:rPr>
      </w:pPr>
    </w:p>
    <w:p w14:paraId="501AAC2C" w14:textId="77777777" w:rsidR="0085449C" w:rsidRPr="006E2F26" w:rsidRDefault="0085449C" w:rsidP="0085449C">
      <w:pPr>
        <w:jc w:val="both"/>
        <w:rPr>
          <w:rFonts w:asciiTheme="minorHAnsi" w:hAnsiTheme="minorHAnsi" w:cstheme="minorHAnsi"/>
          <w:snapToGrid w:val="0"/>
          <w:lang w:eastAsia="fr-FR"/>
        </w:rPr>
      </w:pPr>
      <w:r w:rsidRPr="006E2F26">
        <w:rPr>
          <w:rFonts w:asciiTheme="minorHAnsi" w:hAnsiTheme="minorHAnsi" w:cstheme="minorHAnsi"/>
          <w:snapToGrid w:val="0"/>
          <w:lang w:eastAsia="fr-FR"/>
        </w:rPr>
        <w:t>L'employeur dispose ensuite d'un délai de deux mois à dater de la réception de la lettre recommandée du travailleur pour y réponde par lettre recommandée également.</w:t>
      </w:r>
      <w:r w:rsidR="00E20186" w:rsidRPr="006E2F26">
        <w:rPr>
          <w:rFonts w:asciiTheme="minorHAnsi" w:hAnsiTheme="minorHAnsi" w:cstheme="minorHAnsi"/>
          <w:snapToGrid w:val="0"/>
          <w:lang w:eastAsia="fr-FR"/>
        </w:rPr>
        <w:t xml:space="preserve"> La lettre recommandée doit contenir les éléments qui permettent au travailleur de connaître les motifs concrets qui ont conduit p son licenciement.</w:t>
      </w:r>
    </w:p>
    <w:p w14:paraId="2A4BF5FE" w14:textId="77777777" w:rsidR="0085449C" w:rsidRPr="006E2F26" w:rsidRDefault="0085449C" w:rsidP="0085449C">
      <w:pPr>
        <w:jc w:val="both"/>
        <w:rPr>
          <w:rFonts w:asciiTheme="minorHAnsi" w:hAnsiTheme="minorHAnsi" w:cstheme="minorHAnsi"/>
          <w:snapToGrid w:val="0"/>
          <w:lang w:eastAsia="fr-FR"/>
        </w:rPr>
      </w:pPr>
    </w:p>
    <w:p w14:paraId="3F28DB3A" w14:textId="77777777" w:rsidR="0085449C" w:rsidRPr="006E2F26" w:rsidRDefault="0085449C" w:rsidP="0085449C">
      <w:pPr>
        <w:jc w:val="both"/>
        <w:rPr>
          <w:rFonts w:asciiTheme="minorHAnsi" w:hAnsiTheme="minorHAnsi" w:cstheme="minorHAnsi"/>
          <w:snapToGrid w:val="0"/>
          <w:lang w:eastAsia="fr-FR"/>
        </w:rPr>
      </w:pPr>
      <w:r w:rsidRPr="006E2F26">
        <w:rPr>
          <w:rFonts w:asciiTheme="minorHAnsi" w:hAnsiTheme="minorHAnsi" w:cstheme="minorHAnsi"/>
          <w:snapToGrid w:val="0"/>
          <w:lang w:eastAsia="fr-FR"/>
        </w:rPr>
        <w:t xml:space="preserve">A défaut, il est redevable d'une amende civile forfaitaire correspondant </w:t>
      </w:r>
      <w:r w:rsidR="00E20186" w:rsidRPr="006E2F26">
        <w:rPr>
          <w:rFonts w:asciiTheme="minorHAnsi" w:hAnsiTheme="minorHAnsi" w:cstheme="minorHAnsi"/>
          <w:snapToGrid w:val="0"/>
          <w:lang w:eastAsia="fr-FR"/>
        </w:rPr>
        <w:t>à deux semaines de rémunération, sauf s’il avait communiqué les motifs du licenciement de sa propre initiative.</w:t>
      </w:r>
    </w:p>
    <w:p w14:paraId="1D6F24A0" w14:textId="77777777" w:rsidR="0085449C" w:rsidRPr="006E2F26" w:rsidRDefault="0085449C" w:rsidP="0085449C">
      <w:pPr>
        <w:jc w:val="both"/>
        <w:rPr>
          <w:rFonts w:asciiTheme="minorHAnsi" w:hAnsiTheme="minorHAnsi" w:cstheme="minorHAnsi"/>
          <w:snapToGrid w:val="0"/>
          <w:lang w:eastAsia="fr-FR"/>
        </w:rPr>
      </w:pPr>
    </w:p>
    <w:p w14:paraId="4BDCDED3" w14:textId="77777777" w:rsidR="0085449C" w:rsidRPr="006E2F26" w:rsidRDefault="0085449C" w:rsidP="0085449C">
      <w:pPr>
        <w:jc w:val="both"/>
        <w:rPr>
          <w:rFonts w:asciiTheme="minorHAnsi" w:hAnsiTheme="minorHAnsi" w:cstheme="minorHAnsi"/>
          <w:snapToGrid w:val="0"/>
          <w:u w:val="single"/>
          <w:lang w:eastAsia="fr-FR"/>
        </w:rPr>
      </w:pPr>
      <w:r w:rsidRPr="006E2F26">
        <w:rPr>
          <w:rFonts w:asciiTheme="minorHAnsi" w:hAnsiTheme="minorHAnsi" w:cstheme="minorHAnsi"/>
          <w:snapToGrid w:val="0"/>
          <w:u w:val="single"/>
          <w:lang w:eastAsia="fr-FR"/>
        </w:rPr>
        <w:t>Application des principes à la situation</w:t>
      </w:r>
    </w:p>
    <w:p w14:paraId="735D102D" w14:textId="77777777" w:rsidR="0085449C" w:rsidRPr="006E2F26" w:rsidRDefault="0085449C" w:rsidP="0085449C">
      <w:pPr>
        <w:jc w:val="both"/>
        <w:rPr>
          <w:rFonts w:asciiTheme="minorHAnsi" w:hAnsiTheme="minorHAnsi" w:cstheme="minorHAnsi"/>
          <w:snapToGrid w:val="0"/>
          <w:lang w:eastAsia="fr-FR"/>
        </w:rPr>
      </w:pPr>
    </w:p>
    <w:p w14:paraId="54429225" w14:textId="7956BB97" w:rsidR="00E20186" w:rsidRPr="006E2F26" w:rsidRDefault="00322265" w:rsidP="0085449C">
      <w:pPr>
        <w:jc w:val="both"/>
        <w:rPr>
          <w:rFonts w:asciiTheme="minorHAnsi" w:hAnsiTheme="minorHAnsi" w:cstheme="minorHAnsi"/>
          <w:snapToGrid w:val="0"/>
          <w:lang w:eastAsia="fr-FR"/>
        </w:rPr>
      </w:pPr>
      <w:r w:rsidRPr="006E2F26">
        <w:rPr>
          <w:rFonts w:asciiTheme="minorHAnsi" w:hAnsiTheme="minorHAnsi" w:cstheme="minorHAnsi"/>
          <w:snapToGrid w:val="0"/>
          <w:lang w:eastAsia="fr-FR"/>
        </w:rPr>
        <w:t>L’A.S.B.L.</w:t>
      </w:r>
      <w:r w:rsidR="00E20186" w:rsidRPr="006E2F26">
        <w:rPr>
          <w:rFonts w:asciiTheme="minorHAnsi" w:hAnsiTheme="minorHAnsi" w:cstheme="minorHAnsi"/>
          <w:snapToGrid w:val="0"/>
          <w:lang w:eastAsia="fr-FR"/>
        </w:rPr>
        <w:t xml:space="preserve"> a notifié le licenciement de </w:t>
      </w:r>
      <w:r w:rsidR="008C7B4A" w:rsidRPr="006E2F26">
        <w:rPr>
          <w:rFonts w:asciiTheme="minorHAnsi" w:hAnsiTheme="minorHAnsi" w:cstheme="minorHAnsi"/>
          <w:snapToGrid w:val="0"/>
          <w:lang w:eastAsia="fr-FR"/>
        </w:rPr>
        <w:t>M.</w:t>
      </w:r>
      <w:r w:rsidRPr="006E2F26">
        <w:rPr>
          <w:rFonts w:asciiTheme="minorHAnsi" w:hAnsiTheme="minorHAnsi" w:cstheme="minorHAnsi"/>
          <w:snapToGrid w:val="0"/>
          <w:lang w:eastAsia="fr-FR"/>
        </w:rPr>
        <w:t xml:space="preserve"> </w:t>
      </w:r>
      <w:r w:rsidR="00961229">
        <w:rPr>
          <w:rFonts w:asciiTheme="minorHAnsi" w:hAnsiTheme="minorHAnsi" w:cstheme="minorHAnsi"/>
          <w:snapToGrid w:val="0"/>
          <w:lang w:eastAsia="fr-FR"/>
        </w:rPr>
        <w:t>M</w:t>
      </w:r>
      <w:r w:rsidR="00E20186" w:rsidRPr="006E2F26">
        <w:rPr>
          <w:rFonts w:asciiTheme="minorHAnsi" w:hAnsiTheme="minorHAnsi" w:cstheme="minorHAnsi"/>
          <w:snapToGrid w:val="0"/>
          <w:lang w:eastAsia="fr-FR"/>
        </w:rPr>
        <w:t xml:space="preserve"> le 12 août 2020.</w:t>
      </w:r>
    </w:p>
    <w:p w14:paraId="18ED82C4" w14:textId="77777777" w:rsidR="00E20186" w:rsidRPr="006E2F26" w:rsidRDefault="00E20186" w:rsidP="0085449C">
      <w:pPr>
        <w:jc w:val="both"/>
        <w:rPr>
          <w:rFonts w:asciiTheme="minorHAnsi" w:hAnsiTheme="minorHAnsi" w:cstheme="minorHAnsi"/>
          <w:snapToGrid w:val="0"/>
          <w:lang w:eastAsia="fr-FR"/>
        </w:rPr>
      </w:pPr>
    </w:p>
    <w:p w14:paraId="6ABE4D33" w14:textId="13A3DA79" w:rsidR="0085449C" w:rsidRPr="006E2F26" w:rsidRDefault="00CE3986" w:rsidP="0085449C">
      <w:pPr>
        <w:jc w:val="both"/>
        <w:rPr>
          <w:rFonts w:asciiTheme="minorHAnsi" w:hAnsiTheme="minorHAnsi" w:cstheme="minorHAnsi"/>
          <w:snapToGrid w:val="0"/>
          <w:lang w:eastAsia="fr-FR"/>
        </w:rPr>
      </w:pPr>
      <w:r w:rsidRPr="006E2F26">
        <w:rPr>
          <w:rFonts w:asciiTheme="minorHAnsi" w:hAnsiTheme="minorHAnsi" w:cstheme="minorHAnsi"/>
          <w:snapToGrid w:val="0"/>
          <w:lang w:eastAsia="fr-FR"/>
        </w:rPr>
        <w:t xml:space="preserve">Les conseils de </w:t>
      </w:r>
      <w:r w:rsidR="008C7B4A" w:rsidRPr="006E2F26">
        <w:rPr>
          <w:rFonts w:asciiTheme="minorHAnsi" w:hAnsiTheme="minorHAnsi" w:cstheme="minorHAnsi"/>
          <w:snapToGrid w:val="0"/>
          <w:lang w:eastAsia="fr-FR"/>
        </w:rPr>
        <w:t>M.</w:t>
      </w:r>
      <w:r w:rsidR="00322265" w:rsidRPr="006E2F26">
        <w:rPr>
          <w:rFonts w:asciiTheme="minorHAnsi" w:hAnsiTheme="minorHAnsi" w:cstheme="minorHAnsi"/>
          <w:snapToGrid w:val="0"/>
          <w:lang w:eastAsia="fr-FR"/>
        </w:rPr>
        <w:t xml:space="preserve"> </w:t>
      </w:r>
      <w:r w:rsidR="00961229">
        <w:rPr>
          <w:rFonts w:asciiTheme="minorHAnsi" w:hAnsiTheme="minorHAnsi" w:cstheme="minorHAnsi"/>
          <w:snapToGrid w:val="0"/>
          <w:lang w:eastAsia="fr-FR"/>
        </w:rPr>
        <w:t>M</w:t>
      </w:r>
      <w:r w:rsidR="00E20186" w:rsidRPr="006E2F26">
        <w:rPr>
          <w:rFonts w:asciiTheme="minorHAnsi" w:hAnsiTheme="minorHAnsi" w:cstheme="minorHAnsi"/>
          <w:snapToGrid w:val="0"/>
          <w:lang w:eastAsia="fr-FR"/>
        </w:rPr>
        <w:t xml:space="preserve"> </w:t>
      </w:r>
      <w:r w:rsidRPr="006E2F26">
        <w:rPr>
          <w:rFonts w:asciiTheme="minorHAnsi" w:hAnsiTheme="minorHAnsi" w:cstheme="minorHAnsi"/>
          <w:snapToGrid w:val="0"/>
          <w:lang w:eastAsia="fr-FR"/>
        </w:rPr>
        <w:t>ont réclamé les motifs de</w:t>
      </w:r>
      <w:r w:rsidR="0085449C" w:rsidRPr="006E2F26">
        <w:rPr>
          <w:rFonts w:asciiTheme="minorHAnsi" w:hAnsiTheme="minorHAnsi" w:cstheme="minorHAnsi"/>
          <w:snapToGrid w:val="0"/>
          <w:lang w:eastAsia="fr-FR"/>
        </w:rPr>
        <w:t xml:space="preserve"> son licenciement par courrier tran</w:t>
      </w:r>
      <w:r w:rsidRPr="006E2F26">
        <w:rPr>
          <w:rFonts w:asciiTheme="minorHAnsi" w:hAnsiTheme="minorHAnsi" w:cstheme="minorHAnsi"/>
          <w:snapToGrid w:val="0"/>
          <w:lang w:eastAsia="fr-FR"/>
        </w:rPr>
        <w:t>smis par recommandé du 22 septembre</w:t>
      </w:r>
      <w:r w:rsidR="0085449C" w:rsidRPr="006E2F26">
        <w:rPr>
          <w:rFonts w:asciiTheme="minorHAnsi" w:hAnsiTheme="minorHAnsi" w:cstheme="minorHAnsi"/>
          <w:snapToGrid w:val="0"/>
          <w:lang w:eastAsia="fr-FR"/>
        </w:rPr>
        <w:t xml:space="preserve"> 2020</w:t>
      </w:r>
      <w:r w:rsidRPr="006E2F26">
        <w:rPr>
          <w:rFonts w:asciiTheme="minorHAnsi" w:hAnsiTheme="minorHAnsi" w:cstheme="minorHAnsi"/>
          <w:snapToGrid w:val="0"/>
          <w:lang w:eastAsia="fr-FR"/>
        </w:rPr>
        <w:t>, soit dans le délai de deux mois après la fin du contrat de travail.</w:t>
      </w:r>
    </w:p>
    <w:p w14:paraId="21A49FFB" w14:textId="77777777" w:rsidR="0085449C" w:rsidRPr="006E2F26" w:rsidRDefault="0085449C" w:rsidP="0085449C">
      <w:pPr>
        <w:jc w:val="both"/>
        <w:rPr>
          <w:rFonts w:asciiTheme="minorHAnsi" w:hAnsiTheme="minorHAnsi" w:cstheme="minorHAnsi"/>
          <w:snapToGrid w:val="0"/>
          <w:highlight w:val="cyan"/>
          <w:lang w:eastAsia="fr-FR"/>
        </w:rPr>
      </w:pPr>
    </w:p>
    <w:p w14:paraId="439A1CBA" w14:textId="77777777" w:rsidR="0085449C" w:rsidRPr="006E2F26" w:rsidRDefault="00322265" w:rsidP="0085449C">
      <w:pPr>
        <w:jc w:val="both"/>
        <w:rPr>
          <w:rFonts w:asciiTheme="minorHAnsi" w:hAnsiTheme="minorHAnsi" w:cstheme="minorHAnsi"/>
          <w:snapToGrid w:val="0"/>
          <w:lang w:eastAsia="fr-FR"/>
        </w:rPr>
      </w:pPr>
      <w:r w:rsidRPr="006E2F26">
        <w:rPr>
          <w:rFonts w:asciiTheme="minorHAnsi" w:hAnsiTheme="minorHAnsi" w:cstheme="minorHAnsi"/>
          <w:snapToGrid w:val="0"/>
          <w:lang w:eastAsia="fr-FR"/>
        </w:rPr>
        <w:t>L’A.S.B.L.</w:t>
      </w:r>
      <w:r w:rsidR="0085449C" w:rsidRPr="006E2F26">
        <w:rPr>
          <w:rFonts w:asciiTheme="minorHAnsi" w:hAnsiTheme="minorHAnsi" w:cstheme="minorHAnsi"/>
          <w:snapToGrid w:val="0"/>
          <w:lang w:eastAsia="fr-FR"/>
        </w:rPr>
        <w:t xml:space="preserve"> </w:t>
      </w:r>
      <w:r w:rsidR="00CE3986" w:rsidRPr="006E2F26">
        <w:rPr>
          <w:rFonts w:asciiTheme="minorHAnsi" w:hAnsiTheme="minorHAnsi" w:cstheme="minorHAnsi"/>
          <w:snapToGrid w:val="0"/>
          <w:lang w:eastAsia="fr-FR"/>
        </w:rPr>
        <w:t xml:space="preserve">n’y a jamais répondu. Elle s’en réfère à l’appréciation du Tribunal quant à cette demande. </w:t>
      </w:r>
    </w:p>
    <w:p w14:paraId="0A4CDC6C" w14:textId="77777777" w:rsidR="0085449C" w:rsidRPr="006E2F26" w:rsidRDefault="0085449C" w:rsidP="0085449C">
      <w:pPr>
        <w:jc w:val="both"/>
        <w:rPr>
          <w:rFonts w:asciiTheme="minorHAnsi" w:hAnsiTheme="minorHAnsi" w:cstheme="minorHAnsi"/>
          <w:snapToGrid w:val="0"/>
          <w:lang w:eastAsia="fr-FR"/>
        </w:rPr>
      </w:pPr>
    </w:p>
    <w:p w14:paraId="41B0CE56" w14:textId="77777777" w:rsidR="0085449C" w:rsidRPr="006E2F26" w:rsidRDefault="0085449C" w:rsidP="0085449C">
      <w:pPr>
        <w:jc w:val="both"/>
        <w:rPr>
          <w:rFonts w:asciiTheme="minorHAnsi" w:hAnsiTheme="minorHAnsi" w:cstheme="minorHAnsi"/>
          <w:snapToGrid w:val="0"/>
          <w:lang w:eastAsia="fr-FR"/>
        </w:rPr>
      </w:pPr>
      <w:r w:rsidRPr="006E2F26">
        <w:rPr>
          <w:rFonts w:asciiTheme="minorHAnsi" w:hAnsiTheme="minorHAnsi" w:cstheme="minorHAnsi"/>
          <w:snapToGrid w:val="0"/>
          <w:lang w:eastAsia="fr-FR"/>
        </w:rPr>
        <w:t xml:space="preserve">Le Tribunal constate que </w:t>
      </w:r>
      <w:r w:rsidR="00322265" w:rsidRPr="006E2F26">
        <w:rPr>
          <w:rFonts w:asciiTheme="minorHAnsi" w:hAnsiTheme="minorHAnsi" w:cstheme="minorHAnsi"/>
          <w:snapToGrid w:val="0"/>
          <w:lang w:eastAsia="fr-FR"/>
        </w:rPr>
        <w:t>L’A.S.B.L.</w:t>
      </w:r>
      <w:r w:rsidRPr="006E2F26">
        <w:rPr>
          <w:rFonts w:asciiTheme="minorHAnsi" w:hAnsiTheme="minorHAnsi" w:cstheme="minorHAnsi"/>
          <w:snapToGrid w:val="0"/>
          <w:lang w:eastAsia="fr-FR"/>
        </w:rPr>
        <w:t xml:space="preserve"> n’</w:t>
      </w:r>
      <w:r w:rsidR="00D92E12" w:rsidRPr="006E2F26">
        <w:rPr>
          <w:rFonts w:asciiTheme="minorHAnsi" w:hAnsiTheme="minorHAnsi" w:cstheme="minorHAnsi"/>
          <w:snapToGrid w:val="0"/>
          <w:lang w:eastAsia="fr-FR"/>
        </w:rPr>
        <w:t xml:space="preserve">y </w:t>
      </w:r>
      <w:r w:rsidRPr="006E2F26">
        <w:rPr>
          <w:rFonts w:asciiTheme="minorHAnsi" w:hAnsiTheme="minorHAnsi" w:cstheme="minorHAnsi"/>
          <w:snapToGrid w:val="0"/>
          <w:lang w:eastAsia="fr-FR"/>
        </w:rPr>
        <w:t xml:space="preserve">a </w:t>
      </w:r>
      <w:r w:rsidR="00D92E12" w:rsidRPr="006E2F26">
        <w:rPr>
          <w:rFonts w:asciiTheme="minorHAnsi" w:hAnsiTheme="minorHAnsi" w:cstheme="minorHAnsi"/>
          <w:snapToGrid w:val="0"/>
          <w:lang w:eastAsia="fr-FR"/>
        </w:rPr>
        <w:t xml:space="preserve">jamais répondu. Elle </w:t>
      </w:r>
      <w:r w:rsidRPr="006E2F26">
        <w:rPr>
          <w:rFonts w:asciiTheme="minorHAnsi" w:hAnsiTheme="minorHAnsi" w:cstheme="minorHAnsi"/>
          <w:snapToGrid w:val="0"/>
          <w:lang w:eastAsia="fr-FR"/>
        </w:rPr>
        <w:t>n’a</w:t>
      </w:r>
      <w:r w:rsidR="00D92E12" w:rsidRPr="006E2F26">
        <w:rPr>
          <w:rFonts w:asciiTheme="minorHAnsi" w:hAnsiTheme="minorHAnsi" w:cstheme="minorHAnsi"/>
          <w:snapToGrid w:val="0"/>
          <w:lang w:eastAsia="fr-FR"/>
        </w:rPr>
        <w:t>vait</w:t>
      </w:r>
      <w:r w:rsidRPr="006E2F26">
        <w:rPr>
          <w:rFonts w:asciiTheme="minorHAnsi" w:hAnsiTheme="minorHAnsi" w:cstheme="minorHAnsi"/>
          <w:snapToGrid w:val="0"/>
          <w:lang w:eastAsia="fr-FR"/>
        </w:rPr>
        <w:t xml:space="preserve"> pas non plus communiqué les motifs du licenciement spontanément au travailleur avant sa demande.</w:t>
      </w:r>
    </w:p>
    <w:p w14:paraId="36E88E70" w14:textId="77777777" w:rsidR="0085449C" w:rsidRPr="006E2F26" w:rsidRDefault="0085449C" w:rsidP="0085449C">
      <w:pPr>
        <w:jc w:val="both"/>
        <w:rPr>
          <w:rFonts w:asciiTheme="minorHAnsi" w:hAnsiTheme="minorHAnsi" w:cstheme="minorHAnsi"/>
          <w:snapToGrid w:val="0"/>
          <w:lang w:eastAsia="fr-FR"/>
        </w:rPr>
      </w:pPr>
    </w:p>
    <w:p w14:paraId="12AD2652" w14:textId="77777777" w:rsidR="0085449C" w:rsidRPr="006E2F26" w:rsidRDefault="0085449C" w:rsidP="0085449C">
      <w:pPr>
        <w:jc w:val="both"/>
        <w:rPr>
          <w:rFonts w:asciiTheme="minorHAnsi" w:hAnsiTheme="minorHAnsi" w:cstheme="minorHAnsi"/>
          <w:snapToGrid w:val="0"/>
          <w:lang w:eastAsia="fr-FR"/>
        </w:rPr>
      </w:pPr>
      <w:r w:rsidRPr="006E2F26">
        <w:rPr>
          <w:rFonts w:asciiTheme="minorHAnsi" w:hAnsiTheme="minorHAnsi" w:cstheme="minorHAnsi"/>
          <w:snapToGrid w:val="0"/>
          <w:lang w:eastAsia="fr-FR"/>
        </w:rPr>
        <w:t>Elle est donc redevable de l’amende civile correspondant à deux semaines de rémunération.</w:t>
      </w:r>
    </w:p>
    <w:p w14:paraId="17A3E425" w14:textId="77777777" w:rsidR="00056C7F" w:rsidRPr="006E2F26" w:rsidRDefault="00056C7F" w:rsidP="0085449C">
      <w:pPr>
        <w:jc w:val="both"/>
        <w:rPr>
          <w:rFonts w:asciiTheme="minorHAnsi" w:hAnsiTheme="minorHAnsi" w:cstheme="minorHAnsi"/>
          <w:snapToGrid w:val="0"/>
          <w:lang w:eastAsia="fr-FR"/>
        </w:rPr>
      </w:pPr>
    </w:p>
    <w:p w14:paraId="05741671" w14:textId="15E27855" w:rsidR="00056C7F" w:rsidRPr="006E2F26" w:rsidRDefault="00322265" w:rsidP="0085449C">
      <w:pPr>
        <w:jc w:val="both"/>
        <w:rPr>
          <w:rFonts w:asciiTheme="minorHAnsi" w:hAnsiTheme="minorHAnsi" w:cstheme="minorHAnsi"/>
          <w:snapToGrid w:val="0"/>
          <w:lang w:eastAsia="fr-FR"/>
        </w:rPr>
      </w:pPr>
      <w:r w:rsidRPr="006E2F26">
        <w:rPr>
          <w:rFonts w:asciiTheme="minorHAnsi" w:hAnsiTheme="minorHAnsi" w:cstheme="minorHAnsi"/>
          <w:snapToGrid w:val="0"/>
          <w:lang w:eastAsia="fr-FR"/>
        </w:rPr>
        <w:t>L’A.S.B.L.</w:t>
      </w:r>
      <w:r w:rsidR="00056C7F" w:rsidRPr="006E2F26">
        <w:rPr>
          <w:rFonts w:asciiTheme="minorHAnsi" w:hAnsiTheme="minorHAnsi" w:cstheme="minorHAnsi"/>
          <w:snapToGrid w:val="0"/>
          <w:lang w:eastAsia="fr-FR"/>
        </w:rPr>
        <w:t xml:space="preserve"> est donc condamnée à payer à </w:t>
      </w:r>
      <w:r w:rsidR="008C7B4A" w:rsidRPr="006E2F26">
        <w:rPr>
          <w:rFonts w:asciiTheme="minorHAnsi" w:hAnsiTheme="minorHAnsi" w:cstheme="minorHAnsi"/>
          <w:snapToGrid w:val="0"/>
          <w:lang w:eastAsia="fr-FR"/>
        </w:rPr>
        <w:t>M.</w:t>
      </w:r>
      <w:r w:rsidRPr="006E2F26">
        <w:rPr>
          <w:rFonts w:asciiTheme="minorHAnsi" w:hAnsiTheme="minorHAnsi" w:cstheme="minorHAnsi"/>
          <w:snapToGrid w:val="0"/>
          <w:lang w:eastAsia="fr-FR"/>
        </w:rPr>
        <w:t xml:space="preserve"> </w:t>
      </w:r>
      <w:r w:rsidR="00961229">
        <w:rPr>
          <w:rFonts w:asciiTheme="minorHAnsi" w:hAnsiTheme="minorHAnsi" w:cstheme="minorHAnsi"/>
          <w:snapToGrid w:val="0"/>
          <w:lang w:eastAsia="fr-FR"/>
        </w:rPr>
        <w:t>M</w:t>
      </w:r>
      <w:r w:rsidR="00056C7F" w:rsidRPr="006E2F26">
        <w:rPr>
          <w:rFonts w:asciiTheme="minorHAnsi" w:hAnsiTheme="minorHAnsi" w:cstheme="minorHAnsi"/>
          <w:snapToGrid w:val="0"/>
          <w:lang w:eastAsia="fr-FR"/>
        </w:rPr>
        <w:t xml:space="preserve"> la somme non contestée de 2.219,50 € correspondant à deux semaines de rémunération.</w:t>
      </w:r>
    </w:p>
    <w:p w14:paraId="518DACF7" w14:textId="77777777" w:rsidR="0085449C" w:rsidRPr="006E2F26" w:rsidRDefault="0085449C" w:rsidP="0085449C">
      <w:pPr>
        <w:jc w:val="both"/>
        <w:rPr>
          <w:rFonts w:asciiTheme="minorHAnsi" w:hAnsiTheme="minorHAnsi" w:cstheme="minorHAnsi"/>
          <w:snapToGrid w:val="0"/>
          <w:highlight w:val="yellow"/>
          <w:lang w:eastAsia="fr-FR"/>
        </w:rPr>
      </w:pPr>
    </w:p>
    <w:p w14:paraId="4331573F" w14:textId="77777777" w:rsidR="0085449C" w:rsidRPr="006E2F26" w:rsidRDefault="0085449C" w:rsidP="00F528D9">
      <w:pPr>
        <w:jc w:val="both"/>
        <w:rPr>
          <w:rFonts w:asciiTheme="minorHAnsi" w:hAnsiTheme="minorHAnsi" w:cstheme="minorHAnsi"/>
          <w:b/>
          <w:snapToGrid w:val="0"/>
          <w:u w:val="single"/>
          <w:lang w:eastAsia="fr-FR"/>
        </w:rPr>
      </w:pPr>
      <w:r w:rsidRPr="006E2F26">
        <w:rPr>
          <w:rFonts w:asciiTheme="minorHAnsi" w:hAnsiTheme="minorHAnsi" w:cstheme="minorHAnsi"/>
          <w:b/>
          <w:snapToGrid w:val="0"/>
          <w:u w:val="single"/>
          <w:lang w:eastAsia="fr-FR"/>
        </w:rPr>
        <w:t>5.3.2. Licenciement manifestement déraisonnable</w:t>
      </w:r>
    </w:p>
    <w:p w14:paraId="56ECEBB8" w14:textId="77777777" w:rsidR="00F528D9" w:rsidRPr="006E2F26" w:rsidRDefault="00F528D9" w:rsidP="00F528D9">
      <w:pPr>
        <w:pStyle w:val="Textebrut"/>
        <w:tabs>
          <w:tab w:val="left" w:pos="1843"/>
        </w:tabs>
        <w:jc w:val="both"/>
        <w:rPr>
          <w:rFonts w:asciiTheme="minorHAnsi" w:hAnsiTheme="minorHAnsi" w:cstheme="minorHAnsi"/>
          <w:sz w:val="24"/>
          <w:szCs w:val="24"/>
        </w:rPr>
      </w:pPr>
    </w:p>
    <w:p w14:paraId="5A1BD7E5" w14:textId="77777777" w:rsidR="00F528D9" w:rsidRPr="006E2F26" w:rsidRDefault="00F528D9" w:rsidP="00F528D9">
      <w:pPr>
        <w:pStyle w:val="Textebrut"/>
        <w:tabs>
          <w:tab w:val="left" w:pos="1843"/>
        </w:tabs>
        <w:jc w:val="both"/>
        <w:rPr>
          <w:rFonts w:asciiTheme="minorHAnsi" w:hAnsiTheme="minorHAnsi" w:cstheme="minorHAnsi"/>
          <w:sz w:val="24"/>
          <w:szCs w:val="24"/>
          <w:u w:val="single"/>
        </w:rPr>
      </w:pPr>
      <w:r w:rsidRPr="006E2F26">
        <w:rPr>
          <w:rFonts w:asciiTheme="minorHAnsi" w:hAnsiTheme="minorHAnsi" w:cstheme="minorHAnsi"/>
          <w:sz w:val="24"/>
          <w:szCs w:val="24"/>
          <w:u w:val="single"/>
        </w:rPr>
        <w:t>Position des parties</w:t>
      </w:r>
    </w:p>
    <w:p w14:paraId="7936552A" w14:textId="77777777" w:rsidR="00F528D9" w:rsidRPr="006E2F26" w:rsidRDefault="00F528D9" w:rsidP="00F528D9">
      <w:pPr>
        <w:pStyle w:val="Textebrut"/>
        <w:tabs>
          <w:tab w:val="left" w:pos="1843"/>
        </w:tabs>
        <w:jc w:val="both"/>
        <w:rPr>
          <w:rFonts w:asciiTheme="minorHAnsi" w:hAnsiTheme="minorHAnsi" w:cstheme="minorHAnsi"/>
          <w:sz w:val="24"/>
          <w:szCs w:val="24"/>
        </w:rPr>
      </w:pPr>
    </w:p>
    <w:p w14:paraId="346E1875" w14:textId="77777777" w:rsidR="00F528D9" w:rsidRPr="006E2F26" w:rsidRDefault="00F528D9" w:rsidP="00F528D9">
      <w:pPr>
        <w:pStyle w:val="Textebrut"/>
        <w:tabs>
          <w:tab w:val="left" w:pos="1843"/>
        </w:tabs>
        <w:jc w:val="both"/>
        <w:rPr>
          <w:rFonts w:asciiTheme="minorHAnsi" w:hAnsiTheme="minorHAnsi" w:cstheme="minorHAnsi"/>
          <w:sz w:val="24"/>
          <w:szCs w:val="24"/>
          <w:u w:val="single"/>
        </w:rPr>
      </w:pPr>
      <w:r w:rsidRPr="006E2F26">
        <w:rPr>
          <w:rFonts w:asciiTheme="minorHAnsi" w:hAnsiTheme="minorHAnsi" w:cstheme="minorHAnsi"/>
          <w:sz w:val="24"/>
          <w:szCs w:val="24"/>
          <w:u w:val="single"/>
        </w:rPr>
        <w:t>Règles applicables</w:t>
      </w:r>
    </w:p>
    <w:p w14:paraId="7EACFF11" w14:textId="77777777" w:rsidR="00F528D9" w:rsidRPr="006E2F26" w:rsidRDefault="00F528D9" w:rsidP="00F528D9">
      <w:pPr>
        <w:pStyle w:val="Textebrut"/>
        <w:tabs>
          <w:tab w:val="left" w:pos="1843"/>
        </w:tabs>
        <w:jc w:val="both"/>
        <w:rPr>
          <w:rFonts w:asciiTheme="minorHAnsi" w:hAnsiTheme="minorHAnsi" w:cstheme="minorHAnsi"/>
          <w:sz w:val="24"/>
          <w:szCs w:val="24"/>
        </w:rPr>
      </w:pPr>
    </w:p>
    <w:p w14:paraId="4DC222B7" w14:textId="77777777" w:rsidR="00F528D9" w:rsidRPr="006E2F26" w:rsidRDefault="00F528D9" w:rsidP="00F528D9">
      <w:pPr>
        <w:pStyle w:val="Textebrut"/>
        <w:jc w:val="both"/>
        <w:rPr>
          <w:rFonts w:asciiTheme="minorHAnsi" w:hAnsiTheme="minorHAnsi" w:cstheme="minorHAnsi"/>
          <w:snapToGrid w:val="0"/>
          <w:sz w:val="24"/>
          <w:szCs w:val="24"/>
          <w:lang w:eastAsia="fr-FR"/>
        </w:rPr>
      </w:pPr>
      <w:r w:rsidRPr="006E2F26">
        <w:rPr>
          <w:rFonts w:asciiTheme="minorHAnsi" w:hAnsiTheme="minorHAnsi" w:cstheme="minorHAnsi"/>
          <w:snapToGrid w:val="0"/>
          <w:sz w:val="24"/>
          <w:szCs w:val="24"/>
          <w:u w:val="single"/>
          <w:lang w:eastAsia="fr-FR"/>
        </w:rPr>
        <w:t>Concernant la définition du licenciement manifestement déraisonnable</w:t>
      </w:r>
      <w:r w:rsidRPr="006E2F26">
        <w:rPr>
          <w:rFonts w:asciiTheme="minorHAnsi" w:hAnsiTheme="minorHAnsi" w:cstheme="minorHAnsi"/>
          <w:snapToGrid w:val="0"/>
          <w:sz w:val="24"/>
          <w:szCs w:val="24"/>
          <w:lang w:eastAsia="fr-FR"/>
        </w:rPr>
        <w:t xml:space="preserve">, l'article 8 de la C.C.T n°109 du 12 février 2014 le définit comme le licenciement d’un travailleur engagé pour une durée indéterminée, qui se base sur des motifs qui n’ont aucun lien avec l’aptitude ou la conduite du travailleur ou qui ne sont pas fondés sur les nécessités du fonctionnement de l’entreprise, de l’établissement ou du service, et qui n’aurait jamais </w:t>
      </w:r>
      <w:r w:rsidRPr="006E2F26">
        <w:rPr>
          <w:rFonts w:asciiTheme="minorHAnsi" w:hAnsiTheme="minorHAnsi" w:cstheme="minorHAnsi"/>
          <w:snapToGrid w:val="0"/>
          <w:sz w:val="24"/>
          <w:szCs w:val="24"/>
          <w:lang w:eastAsia="fr-FR"/>
        </w:rPr>
        <w:lastRenderedPageBreak/>
        <w:t>été décidé par un employeur normal et raisonnable, indépendamment des circonstances de ce licenciement.</w:t>
      </w:r>
    </w:p>
    <w:p w14:paraId="2BBAA3EB" w14:textId="77777777" w:rsidR="00F528D9" w:rsidRPr="006E2F26" w:rsidRDefault="00F528D9" w:rsidP="00F528D9">
      <w:pPr>
        <w:pStyle w:val="Textebrut"/>
        <w:jc w:val="both"/>
        <w:rPr>
          <w:rFonts w:asciiTheme="minorHAnsi" w:hAnsiTheme="minorHAnsi" w:cstheme="minorHAnsi"/>
          <w:snapToGrid w:val="0"/>
          <w:sz w:val="24"/>
          <w:szCs w:val="24"/>
          <w:lang w:eastAsia="fr-FR"/>
        </w:rPr>
      </w:pPr>
    </w:p>
    <w:p w14:paraId="322F3541" w14:textId="77777777" w:rsidR="00F528D9" w:rsidRPr="006E2F26" w:rsidRDefault="00F528D9" w:rsidP="00F528D9">
      <w:pPr>
        <w:jc w:val="both"/>
        <w:rPr>
          <w:rFonts w:asciiTheme="minorHAnsi" w:hAnsiTheme="minorHAnsi" w:cstheme="minorHAnsi"/>
        </w:rPr>
      </w:pPr>
      <w:r w:rsidRPr="006E2F26">
        <w:rPr>
          <w:rFonts w:asciiTheme="minorHAnsi" w:hAnsiTheme="minorHAnsi" w:cstheme="minorHAnsi"/>
        </w:rPr>
        <w:t>Le commentaire de cet article précise :</w:t>
      </w:r>
    </w:p>
    <w:p w14:paraId="581AD202" w14:textId="77777777" w:rsidR="00F528D9" w:rsidRPr="006E2F26" w:rsidRDefault="00F528D9" w:rsidP="00F528D9">
      <w:pPr>
        <w:jc w:val="both"/>
        <w:rPr>
          <w:rFonts w:asciiTheme="minorHAnsi" w:hAnsiTheme="minorHAnsi" w:cstheme="minorHAnsi"/>
        </w:rPr>
      </w:pPr>
    </w:p>
    <w:p w14:paraId="17F776F0" w14:textId="77777777" w:rsidR="00F528D9" w:rsidRPr="006E2F26" w:rsidRDefault="00F528D9" w:rsidP="00F528D9">
      <w:pPr>
        <w:pStyle w:val="Default"/>
        <w:jc w:val="both"/>
        <w:rPr>
          <w:rFonts w:asciiTheme="minorHAnsi" w:hAnsiTheme="minorHAnsi" w:cstheme="minorHAnsi"/>
          <w:i/>
        </w:rPr>
      </w:pPr>
      <w:r w:rsidRPr="006E2F26">
        <w:rPr>
          <w:rFonts w:asciiTheme="minorHAnsi" w:hAnsiTheme="minorHAnsi" w:cstheme="minorHAnsi"/>
        </w:rPr>
        <w:t>« </w:t>
      </w:r>
      <w:r w:rsidRPr="006E2F26">
        <w:rPr>
          <w:rFonts w:asciiTheme="minorHAnsi" w:hAnsiTheme="minorHAnsi" w:cstheme="minorHAnsi"/>
          <w:i/>
        </w:rPr>
        <w:t xml:space="preserve">l’exercice du droit de licencier de l’employeur est contrôlé à la lumière de ce que serait l’exercice de ce droit par un employeur normal et raisonnable. Il s’agit d’une compétence d’appréciation à la marge, étant donné que l’employeur est, dans une large mesure, libre de décider de ce qui est raisonnable : il faut respecter les différentes alternatives de gestion qu’un employeur normal et raisonnable pourrait envisager. </w:t>
      </w:r>
    </w:p>
    <w:p w14:paraId="0B9A915C" w14:textId="77777777" w:rsidR="00F528D9" w:rsidRPr="006E2F26" w:rsidRDefault="00F528D9" w:rsidP="00F528D9">
      <w:pPr>
        <w:jc w:val="both"/>
        <w:rPr>
          <w:rFonts w:asciiTheme="minorHAnsi" w:hAnsiTheme="minorHAnsi" w:cstheme="minorHAnsi"/>
        </w:rPr>
      </w:pPr>
      <w:r w:rsidRPr="006E2F26">
        <w:rPr>
          <w:rFonts w:asciiTheme="minorHAnsi" w:hAnsiTheme="minorHAnsi" w:cstheme="minorHAnsi"/>
          <w:i/>
        </w:rPr>
        <w:t>Il s’agit donc d’un contrôle marginal. Seul le caractère manifestement déraisonnable du licenciement peut être contrôlé, et non l’opportunité de la gestion de l’employeur (c’est-à-dire son choix entre les différentes alternatives de gestion raisonnables dont il dispose). L’ajout du mot « manifestement » à la notion de « déraisonnable » vise précisément à souligner la liberté d’action de l’employeur et le contrôle à la marge. Ce dernier élément est également dicté par l’impossibilité pratique de contrôler la gestion de l’employeur autrement qu’à la marge.</w:t>
      </w:r>
      <w:r w:rsidRPr="006E2F26">
        <w:rPr>
          <w:rFonts w:asciiTheme="minorHAnsi" w:hAnsiTheme="minorHAnsi" w:cstheme="minorHAnsi"/>
        </w:rPr>
        <w:t> »</w:t>
      </w:r>
    </w:p>
    <w:p w14:paraId="43C7246E" w14:textId="77777777" w:rsidR="00F528D9" w:rsidRPr="006E2F26" w:rsidRDefault="00F528D9" w:rsidP="00F528D9">
      <w:pPr>
        <w:jc w:val="both"/>
        <w:rPr>
          <w:rFonts w:asciiTheme="minorHAnsi" w:hAnsiTheme="minorHAnsi" w:cstheme="minorHAnsi"/>
        </w:rPr>
      </w:pPr>
    </w:p>
    <w:p w14:paraId="49CD57AB" w14:textId="77777777" w:rsidR="00F528D9" w:rsidRPr="006E2F26" w:rsidRDefault="00F528D9" w:rsidP="00F528D9">
      <w:pPr>
        <w:jc w:val="both"/>
        <w:rPr>
          <w:rFonts w:asciiTheme="minorHAnsi" w:hAnsiTheme="minorHAnsi" w:cstheme="minorHAnsi"/>
        </w:rPr>
      </w:pPr>
      <w:r w:rsidRPr="006E2F26">
        <w:rPr>
          <w:rFonts w:asciiTheme="minorHAnsi" w:hAnsiTheme="minorHAnsi" w:cstheme="minorHAnsi"/>
        </w:rPr>
        <w:t>Le rapport précédent la CCT n°109 mentionne encore :</w:t>
      </w:r>
    </w:p>
    <w:p w14:paraId="65A90E70" w14:textId="77777777" w:rsidR="00F528D9" w:rsidRPr="006E2F26" w:rsidRDefault="00F528D9" w:rsidP="00F528D9">
      <w:pPr>
        <w:jc w:val="both"/>
        <w:rPr>
          <w:rFonts w:asciiTheme="minorHAnsi" w:hAnsiTheme="minorHAnsi" w:cstheme="minorHAnsi"/>
        </w:rPr>
      </w:pPr>
    </w:p>
    <w:p w14:paraId="219BDE4B" w14:textId="77777777" w:rsidR="00F528D9" w:rsidRPr="006E2F26" w:rsidRDefault="00F528D9" w:rsidP="00F528D9">
      <w:pPr>
        <w:jc w:val="both"/>
        <w:rPr>
          <w:rFonts w:asciiTheme="minorHAnsi" w:hAnsiTheme="minorHAnsi" w:cstheme="minorHAnsi"/>
          <w:i/>
        </w:rPr>
      </w:pPr>
      <w:r w:rsidRPr="006E2F26">
        <w:rPr>
          <w:rFonts w:asciiTheme="minorHAnsi" w:hAnsiTheme="minorHAnsi" w:cstheme="minorHAnsi"/>
        </w:rPr>
        <w:t>« </w:t>
      </w:r>
      <w:r w:rsidRPr="006E2F26">
        <w:rPr>
          <w:rFonts w:asciiTheme="minorHAnsi" w:hAnsiTheme="minorHAnsi" w:cstheme="minorHAnsi"/>
          <w:i/>
        </w:rPr>
        <w:t>La présente convention collective de travail vise, d'autre part, à baliser les contours du droit de licencier de l’employeur, dont la jurisprudence admet déjà aujourd’hui qu’il n’est, comme tout droit, pas absolu.</w:t>
      </w:r>
    </w:p>
    <w:p w14:paraId="73ABA388" w14:textId="77777777" w:rsidR="00F528D9" w:rsidRPr="006E2F26" w:rsidRDefault="00F528D9" w:rsidP="00F528D9">
      <w:pPr>
        <w:jc w:val="both"/>
        <w:rPr>
          <w:rFonts w:asciiTheme="minorHAnsi" w:hAnsiTheme="minorHAnsi" w:cstheme="minorHAnsi"/>
        </w:rPr>
      </w:pPr>
      <w:r w:rsidRPr="006E2F26">
        <w:rPr>
          <w:rFonts w:asciiTheme="minorHAnsi" w:hAnsiTheme="minorHAnsi" w:cstheme="minorHAnsi"/>
          <w:i/>
        </w:rPr>
        <w:t>Nonobstant le droit de l’employeur de décider des intérêts de son entreprise, ce droit ne peut pas être exercé de manière imprudente et disproportionnée.</w:t>
      </w:r>
      <w:r w:rsidRPr="006E2F26">
        <w:rPr>
          <w:rFonts w:asciiTheme="minorHAnsi" w:hAnsiTheme="minorHAnsi" w:cstheme="minorHAnsi"/>
        </w:rPr>
        <w:t> »</w:t>
      </w:r>
    </w:p>
    <w:p w14:paraId="1AAD92C4" w14:textId="77777777" w:rsidR="00F33F58" w:rsidRPr="006E2F26" w:rsidRDefault="00F33F58" w:rsidP="00F528D9">
      <w:pPr>
        <w:jc w:val="both"/>
        <w:rPr>
          <w:rFonts w:asciiTheme="minorHAnsi" w:hAnsiTheme="minorHAnsi" w:cstheme="minorHAnsi"/>
        </w:rPr>
      </w:pPr>
    </w:p>
    <w:p w14:paraId="0FE43482" w14:textId="77777777" w:rsidR="00F33F58" w:rsidRPr="006E2F26" w:rsidRDefault="00F528D9" w:rsidP="00F528D9">
      <w:pPr>
        <w:jc w:val="both"/>
        <w:rPr>
          <w:rFonts w:asciiTheme="minorHAnsi" w:hAnsiTheme="minorHAnsi" w:cstheme="minorHAnsi"/>
        </w:rPr>
      </w:pPr>
      <w:r w:rsidRPr="006E2F26">
        <w:rPr>
          <w:rFonts w:asciiTheme="minorHAnsi" w:hAnsiTheme="minorHAnsi" w:cstheme="minorHAnsi"/>
        </w:rPr>
        <w:t xml:space="preserve">Le Tribunal exerce dès lors un contrôle marginal. </w:t>
      </w:r>
    </w:p>
    <w:p w14:paraId="40BF27C2" w14:textId="77777777" w:rsidR="00F33F58" w:rsidRPr="006E2F26" w:rsidRDefault="00F33F58" w:rsidP="00F528D9">
      <w:pPr>
        <w:jc w:val="both"/>
        <w:rPr>
          <w:rFonts w:asciiTheme="minorHAnsi" w:hAnsiTheme="minorHAnsi" w:cstheme="minorHAnsi"/>
        </w:rPr>
      </w:pPr>
    </w:p>
    <w:p w14:paraId="006510BA" w14:textId="77777777" w:rsidR="00F528D9" w:rsidRPr="006E2F26" w:rsidRDefault="00F528D9" w:rsidP="00F528D9">
      <w:pPr>
        <w:jc w:val="both"/>
        <w:rPr>
          <w:rFonts w:asciiTheme="minorHAnsi" w:hAnsiTheme="minorHAnsi" w:cstheme="minorHAnsi"/>
        </w:rPr>
      </w:pPr>
      <w:r w:rsidRPr="006E2F26">
        <w:rPr>
          <w:rFonts w:asciiTheme="minorHAnsi" w:hAnsiTheme="minorHAnsi" w:cstheme="minorHAnsi"/>
        </w:rPr>
        <w:t xml:space="preserve">Le droit de licencier n’étant </w:t>
      </w:r>
      <w:r w:rsidR="00F33F58" w:rsidRPr="006E2F26">
        <w:rPr>
          <w:rFonts w:asciiTheme="minorHAnsi" w:hAnsiTheme="minorHAnsi" w:cstheme="minorHAnsi"/>
        </w:rPr>
        <w:t xml:space="preserve">toutefois </w:t>
      </w:r>
      <w:r w:rsidRPr="006E2F26">
        <w:rPr>
          <w:rFonts w:asciiTheme="minorHAnsi" w:hAnsiTheme="minorHAnsi" w:cstheme="minorHAnsi"/>
        </w:rPr>
        <w:t xml:space="preserve">pas absolu, il ne peut être exercé de manière imprudente, disproportionnée ou déraisonnable. </w:t>
      </w:r>
    </w:p>
    <w:p w14:paraId="403F5B7B" w14:textId="77777777" w:rsidR="00F528D9" w:rsidRPr="006E2F26" w:rsidRDefault="00F528D9" w:rsidP="00F528D9">
      <w:pPr>
        <w:jc w:val="both"/>
        <w:rPr>
          <w:rFonts w:asciiTheme="minorHAnsi" w:hAnsiTheme="minorHAnsi" w:cstheme="minorHAnsi"/>
        </w:rPr>
      </w:pPr>
    </w:p>
    <w:p w14:paraId="59A54218" w14:textId="77777777" w:rsidR="00F528D9" w:rsidRPr="006E2F26" w:rsidRDefault="00F528D9" w:rsidP="00F528D9">
      <w:pPr>
        <w:jc w:val="both"/>
        <w:rPr>
          <w:rFonts w:asciiTheme="minorHAnsi" w:hAnsiTheme="minorHAnsi" w:cstheme="minorHAnsi"/>
        </w:rPr>
      </w:pPr>
      <w:r w:rsidRPr="006E2F26">
        <w:rPr>
          <w:rFonts w:asciiTheme="minorHAnsi" w:hAnsiTheme="minorHAnsi" w:cstheme="minorHAnsi"/>
        </w:rPr>
        <w:t>Le Tribunal doit ainsi vérifier :</w:t>
      </w:r>
    </w:p>
    <w:p w14:paraId="33E574BA" w14:textId="77777777" w:rsidR="00F528D9" w:rsidRPr="006E2F26" w:rsidRDefault="00F528D9" w:rsidP="00F528D9">
      <w:pPr>
        <w:pStyle w:val="Paragraphedeliste"/>
        <w:numPr>
          <w:ilvl w:val="0"/>
          <w:numId w:val="18"/>
        </w:numPr>
        <w:jc w:val="both"/>
        <w:rPr>
          <w:rFonts w:asciiTheme="minorHAnsi" w:hAnsiTheme="minorHAnsi" w:cstheme="minorHAnsi"/>
        </w:rPr>
      </w:pPr>
      <w:r w:rsidRPr="006E2F26">
        <w:rPr>
          <w:rFonts w:asciiTheme="minorHAnsi" w:hAnsiTheme="minorHAnsi" w:cstheme="minorHAnsi"/>
        </w:rPr>
        <w:t>Si les motifs ont ou non un lien avec l'aptitude ou la conduite du travailleur ou s'ils sont fondés sur les nécessités du fonctionnement de l'entreprise.</w:t>
      </w:r>
    </w:p>
    <w:p w14:paraId="04BBCD87" w14:textId="77777777" w:rsidR="00F528D9" w:rsidRPr="006E2F26" w:rsidRDefault="00F528D9" w:rsidP="00F528D9">
      <w:pPr>
        <w:pStyle w:val="Paragraphedeliste"/>
        <w:jc w:val="both"/>
        <w:rPr>
          <w:rFonts w:asciiTheme="minorHAnsi" w:hAnsiTheme="minorHAnsi" w:cstheme="minorHAnsi"/>
        </w:rPr>
      </w:pPr>
      <w:r w:rsidRPr="006E2F26">
        <w:rPr>
          <w:rFonts w:asciiTheme="minorHAnsi" w:hAnsiTheme="minorHAnsi" w:cstheme="minorHAnsi"/>
        </w:rPr>
        <w:t>Dans ce cadre, le Tribunal doit examiner </w:t>
      </w:r>
      <w:r w:rsidRPr="006E2F26">
        <w:rPr>
          <w:rStyle w:val="Appelnotedebasdep"/>
          <w:rFonts w:asciiTheme="minorHAnsi" w:hAnsiTheme="minorHAnsi" w:cstheme="minorHAnsi"/>
        </w:rPr>
        <w:footnoteReference w:id="32"/>
      </w:r>
      <w:r w:rsidRPr="006E2F26">
        <w:rPr>
          <w:rFonts w:asciiTheme="minorHAnsi" w:hAnsiTheme="minorHAnsi" w:cstheme="minorHAnsi"/>
        </w:rPr>
        <w:t>:</w:t>
      </w:r>
    </w:p>
    <w:p w14:paraId="33C8723C" w14:textId="77777777" w:rsidR="00F528D9" w:rsidRPr="006E2F26" w:rsidRDefault="00F528D9" w:rsidP="00F528D9">
      <w:pPr>
        <w:pStyle w:val="Paragraphedeliste"/>
        <w:numPr>
          <w:ilvl w:val="1"/>
          <w:numId w:val="18"/>
        </w:numPr>
        <w:jc w:val="both"/>
        <w:rPr>
          <w:rFonts w:asciiTheme="minorHAnsi" w:hAnsiTheme="minorHAnsi" w:cstheme="minorHAnsi"/>
        </w:rPr>
      </w:pPr>
      <w:r w:rsidRPr="006E2F26">
        <w:rPr>
          <w:rFonts w:asciiTheme="minorHAnsi" w:hAnsiTheme="minorHAnsi" w:cstheme="minorHAnsi"/>
        </w:rPr>
        <w:t>l’exactitude des motifs invoqués ;</w:t>
      </w:r>
    </w:p>
    <w:p w14:paraId="2BD3387F" w14:textId="77777777" w:rsidR="00F528D9" w:rsidRPr="006E2F26" w:rsidRDefault="00F528D9" w:rsidP="00F528D9">
      <w:pPr>
        <w:pStyle w:val="Paragraphedeliste"/>
        <w:numPr>
          <w:ilvl w:val="1"/>
          <w:numId w:val="18"/>
        </w:numPr>
        <w:jc w:val="both"/>
        <w:rPr>
          <w:rFonts w:asciiTheme="minorHAnsi" w:hAnsiTheme="minorHAnsi" w:cstheme="minorHAnsi"/>
        </w:rPr>
      </w:pPr>
      <w:r w:rsidRPr="006E2F26">
        <w:rPr>
          <w:rFonts w:asciiTheme="minorHAnsi" w:hAnsiTheme="minorHAnsi" w:cstheme="minorHAnsi"/>
        </w:rPr>
        <w:t xml:space="preserve">si les motifs invoqués sont la cause réelle du licenciement, c’est-à-dire le lien causal existant entre les motifs et le licenciement ;  </w:t>
      </w:r>
    </w:p>
    <w:p w14:paraId="612B2BAA" w14:textId="77777777" w:rsidR="00F528D9" w:rsidRPr="006E2F26" w:rsidRDefault="00F528D9" w:rsidP="00F528D9">
      <w:pPr>
        <w:pStyle w:val="Paragraphedeliste"/>
        <w:numPr>
          <w:ilvl w:val="0"/>
          <w:numId w:val="18"/>
        </w:numPr>
        <w:jc w:val="both"/>
        <w:rPr>
          <w:rFonts w:asciiTheme="minorHAnsi" w:hAnsiTheme="minorHAnsi" w:cstheme="minorHAnsi"/>
        </w:rPr>
      </w:pPr>
      <w:r w:rsidRPr="006E2F26">
        <w:rPr>
          <w:rFonts w:asciiTheme="minorHAnsi" w:hAnsiTheme="minorHAnsi" w:cstheme="minorHAnsi"/>
        </w:rPr>
        <w:t>Si l'exercice du droit de licencier de l'employeur est conforme à l'exercice de ce droit par un employeur normal et raisonnable.</w:t>
      </w:r>
    </w:p>
    <w:p w14:paraId="5036F631" w14:textId="77777777" w:rsidR="00F528D9" w:rsidRPr="006E2F26" w:rsidRDefault="00F528D9" w:rsidP="00F528D9">
      <w:pPr>
        <w:jc w:val="both"/>
        <w:rPr>
          <w:rFonts w:asciiTheme="minorHAnsi" w:hAnsiTheme="minorHAnsi" w:cstheme="minorHAnsi"/>
        </w:rPr>
      </w:pPr>
    </w:p>
    <w:p w14:paraId="678FA30B" w14:textId="77777777" w:rsidR="00F528D9" w:rsidRPr="006E2F26" w:rsidRDefault="00F528D9" w:rsidP="00F528D9">
      <w:pPr>
        <w:jc w:val="both"/>
        <w:rPr>
          <w:rFonts w:asciiTheme="minorHAnsi" w:hAnsiTheme="minorHAnsi" w:cstheme="minorHAnsi"/>
        </w:rPr>
      </w:pPr>
      <w:r w:rsidRPr="006E2F26">
        <w:rPr>
          <w:rFonts w:asciiTheme="minorHAnsi" w:hAnsiTheme="minorHAnsi" w:cstheme="minorHAnsi"/>
        </w:rPr>
        <w:t>La doctrine</w:t>
      </w:r>
      <w:r w:rsidRPr="006E2F26">
        <w:rPr>
          <w:rStyle w:val="Appelnotedebasdep"/>
          <w:rFonts w:asciiTheme="minorHAnsi" w:hAnsiTheme="minorHAnsi" w:cstheme="minorHAnsi"/>
        </w:rPr>
        <w:footnoteReference w:id="33"/>
      </w:r>
      <w:r w:rsidRPr="006E2F26">
        <w:rPr>
          <w:rFonts w:asciiTheme="minorHAnsi" w:hAnsiTheme="minorHAnsi" w:cstheme="minorHAnsi"/>
        </w:rPr>
        <w:t xml:space="preserve"> déduit de ces termes que le motif doit être valable et raisonnable. Le licenciement qui repose sur un motif non établi n’est pas valable. Le congé est alors non </w:t>
      </w:r>
      <w:r w:rsidRPr="006E2F26">
        <w:rPr>
          <w:rFonts w:asciiTheme="minorHAnsi" w:hAnsiTheme="minorHAnsi" w:cstheme="minorHAnsi"/>
        </w:rPr>
        <w:lastRenderedPageBreak/>
        <w:t>seulement illégal mais aussi déraisonnable. De la même manière, un licenciement dont le motif est bien en lien avec l'aptitude ou la conduite du travailleur ou avec les nécessités du fonctionnement de l'entreprise doit encore être légitime ou raisonnable</w:t>
      </w:r>
      <w:r w:rsidRPr="006E2F26">
        <w:rPr>
          <w:rStyle w:val="Appelnotedebasdep"/>
          <w:rFonts w:asciiTheme="minorHAnsi" w:hAnsiTheme="minorHAnsi" w:cstheme="minorHAnsi"/>
        </w:rPr>
        <w:footnoteReference w:id="34"/>
      </w:r>
      <w:r w:rsidRPr="006E2F26">
        <w:rPr>
          <w:rFonts w:asciiTheme="minorHAnsi" w:hAnsiTheme="minorHAnsi" w:cstheme="minorHAnsi"/>
        </w:rPr>
        <w:t xml:space="preserve">. </w:t>
      </w:r>
    </w:p>
    <w:p w14:paraId="0C6ED6C2" w14:textId="77777777" w:rsidR="00F528D9" w:rsidRPr="006E2F26" w:rsidRDefault="00F528D9" w:rsidP="00F528D9">
      <w:pPr>
        <w:jc w:val="both"/>
        <w:rPr>
          <w:rFonts w:asciiTheme="minorHAnsi" w:hAnsiTheme="minorHAnsi" w:cstheme="minorHAnsi"/>
        </w:rPr>
      </w:pPr>
    </w:p>
    <w:p w14:paraId="13318A53" w14:textId="77777777" w:rsidR="00F528D9" w:rsidRPr="006E2F26" w:rsidRDefault="00F528D9" w:rsidP="00F528D9">
      <w:pPr>
        <w:pStyle w:val="Textebrut"/>
        <w:jc w:val="both"/>
        <w:rPr>
          <w:rFonts w:asciiTheme="minorHAnsi" w:hAnsiTheme="minorHAnsi" w:cstheme="minorHAnsi"/>
          <w:snapToGrid w:val="0"/>
          <w:sz w:val="24"/>
          <w:szCs w:val="24"/>
          <w:lang w:eastAsia="fr-FR"/>
        </w:rPr>
      </w:pPr>
      <w:r w:rsidRPr="006E2F26">
        <w:rPr>
          <w:rFonts w:asciiTheme="minorHAnsi" w:hAnsiTheme="minorHAnsi" w:cstheme="minorHAnsi"/>
          <w:snapToGrid w:val="0"/>
          <w:sz w:val="24"/>
          <w:szCs w:val="24"/>
          <w:u w:val="single"/>
          <w:lang w:eastAsia="fr-FR"/>
        </w:rPr>
        <w:t>En ce qui concerne la sanction</w:t>
      </w:r>
      <w:r w:rsidRPr="006E2F26">
        <w:rPr>
          <w:rFonts w:asciiTheme="minorHAnsi" w:hAnsiTheme="minorHAnsi" w:cstheme="minorHAnsi"/>
          <w:snapToGrid w:val="0"/>
          <w:sz w:val="24"/>
          <w:szCs w:val="24"/>
          <w:lang w:eastAsia="fr-FR"/>
        </w:rPr>
        <w:t>, l’article 9 de la C.C.T. n° 109 prévoit que l’indemnisation octroyée au travailleur correspond au minimum à 3 semaines et au maximum à 17 semaines de rémunération.</w:t>
      </w:r>
    </w:p>
    <w:p w14:paraId="6E944E51" w14:textId="77777777" w:rsidR="00F528D9" w:rsidRPr="006E2F26" w:rsidRDefault="00F528D9" w:rsidP="00F528D9">
      <w:pPr>
        <w:pStyle w:val="Textebrut"/>
        <w:jc w:val="both"/>
        <w:rPr>
          <w:rFonts w:asciiTheme="minorHAnsi" w:hAnsiTheme="minorHAnsi" w:cstheme="minorHAnsi"/>
          <w:snapToGrid w:val="0"/>
          <w:sz w:val="24"/>
          <w:szCs w:val="24"/>
          <w:lang w:eastAsia="fr-FR"/>
        </w:rPr>
      </w:pPr>
    </w:p>
    <w:p w14:paraId="4A8D7428" w14:textId="77777777" w:rsidR="00F528D9" w:rsidRPr="006E2F26" w:rsidRDefault="00F528D9" w:rsidP="00F528D9">
      <w:pPr>
        <w:pStyle w:val="Textebrut"/>
        <w:jc w:val="both"/>
        <w:rPr>
          <w:rFonts w:asciiTheme="minorHAnsi" w:hAnsiTheme="minorHAnsi" w:cstheme="minorHAnsi"/>
          <w:snapToGrid w:val="0"/>
          <w:sz w:val="24"/>
          <w:szCs w:val="24"/>
          <w:lang w:eastAsia="fr-FR"/>
        </w:rPr>
      </w:pPr>
      <w:r w:rsidRPr="006E2F26">
        <w:rPr>
          <w:rFonts w:asciiTheme="minorHAnsi" w:hAnsiTheme="minorHAnsi" w:cstheme="minorHAnsi"/>
          <w:snapToGrid w:val="0"/>
          <w:sz w:val="24"/>
          <w:szCs w:val="24"/>
          <w:lang w:eastAsia="fr-FR"/>
        </w:rPr>
        <w:t>En commentaire à cet article, les partenaires sociaux ont uniquement précisé que le montant de l’indemnisation dépend de la gradation du caractère manifestement déraisonnable du licenciement.</w:t>
      </w:r>
    </w:p>
    <w:p w14:paraId="2FAE10C1" w14:textId="77777777" w:rsidR="00F528D9" w:rsidRPr="006E2F26" w:rsidRDefault="00F528D9" w:rsidP="00F528D9">
      <w:pPr>
        <w:jc w:val="both"/>
        <w:rPr>
          <w:rFonts w:asciiTheme="minorHAnsi" w:hAnsiTheme="minorHAnsi" w:cstheme="minorHAnsi"/>
        </w:rPr>
      </w:pPr>
    </w:p>
    <w:p w14:paraId="43C57702" w14:textId="77777777" w:rsidR="00F528D9" w:rsidRPr="006E2F26" w:rsidRDefault="00F528D9" w:rsidP="00F528D9">
      <w:pPr>
        <w:jc w:val="both"/>
        <w:rPr>
          <w:rFonts w:asciiTheme="minorHAnsi" w:hAnsiTheme="minorHAnsi" w:cstheme="minorHAnsi"/>
          <w:u w:val="single"/>
        </w:rPr>
      </w:pPr>
      <w:r w:rsidRPr="006E2F26">
        <w:rPr>
          <w:rFonts w:asciiTheme="minorHAnsi" w:hAnsiTheme="minorHAnsi" w:cstheme="minorHAnsi"/>
          <w:u w:val="single"/>
        </w:rPr>
        <w:t>Concernant la charge de la preuve</w:t>
      </w:r>
      <w:r w:rsidRPr="006E2F26">
        <w:rPr>
          <w:rFonts w:asciiTheme="minorHAnsi" w:hAnsiTheme="minorHAnsi" w:cstheme="minorHAnsi"/>
        </w:rPr>
        <w:t>, l</w:t>
      </w:r>
      <w:r w:rsidRPr="006E2F26">
        <w:rPr>
          <w:rFonts w:asciiTheme="minorHAnsi" w:hAnsiTheme="minorHAnsi" w:cstheme="minorHAnsi"/>
          <w:snapToGrid w:val="0"/>
          <w:lang w:eastAsia="fr-FR"/>
        </w:rPr>
        <w:t xml:space="preserve">'article 10 de la C.C.T. n°109 détermine qu'en cas de contestation, la charge de la preuve entre l’employeur et le travailleur est réglée de la manière suivante : </w:t>
      </w:r>
    </w:p>
    <w:p w14:paraId="097358BA" w14:textId="77777777" w:rsidR="00F528D9" w:rsidRPr="006E2F26" w:rsidRDefault="00F528D9" w:rsidP="00F528D9">
      <w:pPr>
        <w:pStyle w:val="Textebrut"/>
        <w:jc w:val="both"/>
        <w:rPr>
          <w:rFonts w:asciiTheme="minorHAnsi" w:hAnsiTheme="minorHAnsi" w:cstheme="minorHAnsi"/>
          <w:snapToGrid w:val="0"/>
          <w:sz w:val="24"/>
          <w:szCs w:val="24"/>
          <w:lang w:eastAsia="fr-FR"/>
        </w:rPr>
      </w:pPr>
    </w:p>
    <w:p w14:paraId="291F989C" w14:textId="77777777" w:rsidR="00F528D9" w:rsidRPr="006E2F26" w:rsidRDefault="00F528D9" w:rsidP="00F528D9">
      <w:pPr>
        <w:pStyle w:val="Textebrut"/>
        <w:jc w:val="both"/>
        <w:rPr>
          <w:rFonts w:asciiTheme="minorHAnsi" w:hAnsiTheme="minorHAnsi" w:cstheme="minorHAnsi"/>
          <w:snapToGrid w:val="0"/>
          <w:sz w:val="24"/>
          <w:szCs w:val="24"/>
          <w:lang w:eastAsia="fr-FR"/>
        </w:rPr>
      </w:pPr>
      <w:r w:rsidRPr="006E2F26">
        <w:rPr>
          <w:rFonts w:asciiTheme="minorHAnsi" w:hAnsiTheme="minorHAnsi" w:cstheme="minorHAnsi"/>
          <w:snapToGrid w:val="0"/>
          <w:sz w:val="24"/>
          <w:szCs w:val="24"/>
          <w:lang w:eastAsia="fr-FR"/>
        </w:rPr>
        <w:t>- Si l’employeur a communiqué les motifs du licenciement dans le respect de l’article 5 ou de l’article 6, la partie qui allègue des faits en assume la charge de la preuve.</w:t>
      </w:r>
    </w:p>
    <w:p w14:paraId="3C2E65A0" w14:textId="77777777" w:rsidR="00F528D9" w:rsidRPr="006E2F26" w:rsidRDefault="00F528D9" w:rsidP="00F528D9">
      <w:pPr>
        <w:pStyle w:val="Textebrut"/>
        <w:jc w:val="both"/>
        <w:rPr>
          <w:rFonts w:asciiTheme="minorHAnsi" w:hAnsiTheme="minorHAnsi" w:cstheme="minorHAnsi"/>
          <w:snapToGrid w:val="0"/>
          <w:sz w:val="24"/>
          <w:szCs w:val="24"/>
          <w:lang w:eastAsia="fr-FR"/>
        </w:rPr>
      </w:pPr>
      <w:r w:rsidRPr="006E2F26">
        <w:rPr>
          <w:rFonts w:asciiTheme="minorHAnsi" w:hAnsiTheme="minorHAnsi" w:cstheme="minorHAnsi"/>
          <w:snapToGrid w:val="0"/>
          <w:sz w:val="24"/>
          <w:szCs w:val="24"/>
          <w:lang w:eastAsia="fr-FR"/>
        </w:rPr>
        <w:t>- Il appartient à l’employeur de fournir la preuve des motifs du licenciement invoqués qu’il n’a pas communiqués au travailleur dans le respect de l’article 5 ou de l’article 6 et qui démontrent que le licenciement n’est pas manifestement déraisonnable.</w:t>
      </w:r>
    </w:p>
    <w:p w14:paraId="5AFD7381" w14:textId="77777777" w:rsidR="00F528D9" w:rsidRPr="006E2F26" w:rsidRDefault="00F528D9" w:rsidP="00F528D9">
      <w:pPr>
        <w:pStyle w:val="Textebrut"/>
        <w:jc w:val="both"/>
        <w:rPr>
          <w:rFonts w:asciiTheme="minorHAnsi" w:hAnsiTheme="minorHAnsi" w:cstheme="minorHAnsi"/>
          <w:snapToGrid w:val="0"/>
          <w:sz w:val="24"/>
          <w:szCs w:val="24"/>
          <w:lang w:eastAsia="fr-FR"/>
        </w:rPr>
      </w:pPr>
      <w:r w:rsidRPr="006E2F26">
        <w:rPr>
          <w:rFonts w:asciiTheme="minorHAnsi" w:hAnsiTheme="minorHAnsi" w:cstheme="minorHAnsi"/>
          <w:snapToGrid w:val="0"/>
          <w:sz w:val="24"/>
          <w:szCs w:val="24"/>
          <w:lang w:eastAsia="fr-FR"/>
        </w:rPr>
        <w:t>- Il appartient au travailleur de fournir la preuve d’éléments qui indiquent le caractère manifestement déraisonnable du licenciement lorsqu’il n’a pas introduit de demande visant à connaître les motifs de son licenciement dans le respect de l’article 4.</w:t>
      </w:r>
    </w:p>
    <w:p w14:paraId="48450789" w14:textId="77777777" w:rsidR="00F528D9" w:rsidRPr="006E2F26" w:rsidRDefault="00F528D9" w:rsidP="00F528D9">
      <w:pPr>
        <w:pStyle w:val="Textebrut"/>
        <w:tabs>
          <w:tab w:val="left" w:pos="1843"/>
        </w:tabs>
        <w:jc w:val="both"/>
        <w:rPr>
          <w:rFonts w:asciiTheme="minorHAnsi" w:hAnsiTheme="minorHAnsi" w:cstheme="minorHAnsi"/>
          <w:sz w:val="24"/>
          <w:szCs w:val="24"/>
        </w:rPr>
      </w:pPr>
    </w:p>
    <w:p w14:paraId="1B3EED49" w14:textId="77777777" w:rsidR="00F528D9" w:rsidRPr="006E2F26" w:rsidRDefault="00F528D9" w:rsidP="00F528D9">
      <w:pPr>
        <w:pStyle w:val="Textebrut"/>
        <w:tabs>
          <w:tab w:val="left" w:pos="1843"/>
        </w:tabs>
        <w:jc w:val="both"/>
        <w:rPr>
          <w:rFonts w:asciiTheme="minorHAnsi" w:hAnsiTheme="minorHAnsi" w:cstheme="minorHAnsi"/>
          <w:sz w:val="24"/>
          <w:szCs w:val="24"/>
          <w:u w:val="single"/>
        </w:rPr>
      </w:pPr>
      <w:r w:rsidRPr="006E2F26">
        <w:rPr>
          <w:rFonts w:asciiTheme="minorHAnsi" w:hAnsiTheme="minorHAnsi" w:cstheme="minorHAnsi"/>
          <w:sz w:val="24"/>
          <w:szCs w:val="24"/>
          <w:u w:val="single"/>
        </w:rPr>
        <w:t>Application des règles à la situation</w:t>
      </w:r>
    </w:p>
    <w:p w14:paraId="5821CD2E" w14:textId="77777777" w:rsidR="00B54E7F" w:rsidRPr="006E2F26" w:rsidRDefault="00B54E7F" w:rsidP="00F528D9">
      <w:pPr>
        <w:jc w:val="both"/>
        <w:rPr>
          <w:rFonts w:asciiTheme="minorHAnsi" w:eastAsia="Arial" w:hAnsiTheme="minorHAnsi" w:cstheme="minorHAnsi"/>
          <w:u w:val="single"/>
        </w:rPr>
      </w:pPr>
    </w:p>
    <w:p w14:paraId="23C93860" w14:textId="229FC566" w:rsidR="00F528D9" w:rsidRPr="006E2F26" w:rsidRDefault="008C7B4A" w:rsidP="00F528D9">
      <w:pPr>
        <w:jc w:val="both"/>
        <w:rPr>
          <w:rFonts w:asciiTheme="minorHAnsi" w:hAnsiTheme="minorHAnsi" w:cstheme="minorHAnsi"/>
          <w:snapToGrid w:val="0"/>
          <w:lang w:eastAsia="fr-FR"/>
        </w:rPr>
      </w:pPr>
      <w:r w:rsidRPr="006E2F26">
        <w:rPr>
          <w:rFonts w:asciiTheme="minorHAnsi" w:eastAsia="Arial" w:hAnsiTheme="minorHAnsi" w:cstheme="minorHAnsi"/>
        </w:rPr>
        <w:t>M.</w:t>
      </w:r>
      <w:r w:rsidR="00322265" w:rsidRPr="006E2F26">
        <w:rPr>
          <w:rFonts w:asciiTheme="minorHAnsi" w:eastAsia="Arial" w:hAnsiTheme="minorHAnsi" w:cstheme="minorHAnsi"/>
        </w:rPr>
        <w:t xml:space="preserve"> </w:t>
      </w:r>
      <w:r w:rsidR="00961229">
        <w:rPr>
          <w:rFonts w:asciiTheme="minorHAnsi" w:eastAsia="Arial" w:hAnsiTheme="minorHAnsi" w:cstheme="minorHAnsi"/>
        </w:rPr>
        <w:t>M</w:t>
      </w:r>
      <w:r w:rsidR="00B54E7F" w:rsidRPr="006E2F26">
        <w:rPr>
          <w:rFonts w:asciiTheme="minorHAnsi" w:eastAsia="Arial" w:hAnsiTheme="minorHAnsi" w:cstheme="minorHAnsi"/>
        </w:rPr>
        <w:t xml:space="preserve"> </w:t>
      </w:r>
      <w:r w:rsidR="00F528D9" w:rsidRPr="006E2F26">
        <w:rPr>
          <w:rFonts w:asciiTheme="minorHAnsi" w:hAnsiTheme="minorHAnsi" w:cstheme="minorHAnsi"/>
          <w:snapToGrid w:val="0"/>
          <w:lang w:eastAsia="fr-FR"/>
        </w:rPr>
        <w:t xml:space="preserve">a réclamé les motifs de son licenciement à </w:t>
      </w:r>
      <w:r w:rsidR="00322265" w:rsidRPr="006E2F26">
        <w:rPr>
          <w:rFonts w:asciiTheme="minorHAnsi" w:hAnsiTheme="minorHAnsi" w:cstheme="minorHAnsi"/>
          <w:snapToGrid w:val="0"/>
          <w:lang w:eastAsia="fr-FR"/>
        </w:rPr>
        <w:t>L’A.S.B.L.</w:t>
      </w:r>
      <w:r w:rsidR="00F528D9" w:rsidRPr="006E2F26">
        <w:rPr>
          <w:rFonts w:asciiTheme="minorHAnsi" w:hAnsiTheme="minorHAnsi" w:cstheme="minorHAnsi"/>
          <w:snapToGrid w:val="0"/>
          <w:lang w:eastAsia="fr-FR"/>
        </w:rPr>
        <w:t xml:space="preserve"> qui </w:t>
      </w:r>
      <w:r w:rsidR="00F27425" w:rsidRPr="006E2F26">
        <w:rPr>
          <w:rFonts w:asciiTheme="minorHAnsi" w:hAnsiTheme="minorHAnsi" w:cstheme="minorHAnsi"/>
          <w:snapToGrid w:val="0"/>
          <w:lang w:eastAsia="fr-FR"/>
        </w:rPr>
        <w:t>n</w:t>
      </w:r>
      <w:r w:rsidR="00B54E7F" w:rsidRPr="006E2F26">
        <w:rPr>
          <w:rFonts w:asciiTheme="minorHAnsi" w:hAnsiTheme="minorHAnsi" w:cstheme="minorHAnsi"/>
          <w:snapToGrid w:val="0"/>
          <w:lang w:eastAsia="fr-FR"/>
        </w:rPr>
        <w:t xml:space="preserve">e </w:t>
      </w:r>
      <w:r w:rsidR="00F528D9" w:rsidRPr="006E2F26">
        <w:rPr>
          <w:rFonts w:asciiTheme="minorHAnsi" w:hAnsiTheme="minorHAnsi" w:cstheme="minorHAnsi"/>
          <w:snapToGrid w:val="0"/>
          <w:lang w:eastAsia="fr-FR"/>
        </w:rPr>
        <w:t xml:space="preserve">les lui a </w:t>
      </w:r>
      <w:r w:rsidR="00B54E7F" w:rsidRPr="006E2F26">
        <w:rPr>
          <w:rFonts w:asciiTheme="minorHAnsi" w:hAnsiTheme="minorHAnsi" w:cstheme="minorHAnsi"/>
          <w:snapToGrid w:val="0"/>
          <w:lang w:eastAsia="fr-FR"/>
        </w:rPr>
        <w:t xml:space="preserve">pas </w:t>
      </w:r>
      <w:r w:rsidR="00F528D9" w:rsidRPr="006E2F26">
        <w:rPr>
          <w:rFonts w:asciiTheme="minorHAnsi" w:hAnsiTheme="minorHAnsi" w:cstheme="minorHAnsi"/>
          <w:snapToGrid w:val="0"/>
          <w:lang w:eastAsia="fr-FR"/>
        </w:rPr>
        <w:t xml:space="preserve">communiqués. </w:t>
      </w:r>
      <w:r w:rsidR="00B54E7F" w:rsidRPr="006E2F26">
        <w:rPr>
          <w:rFonts w:asciiTheme="minorHAnsi" w:hAnsiTheme="minorHAnsi" w:cstheme="minorHAnsi"/>
          <w:snapToGrid w:val="0"/>
          <w:lang w:eastAsia="fr-FR"/>
        </w:rPr>
        <w:t xml:space="preserve">Il appartient dès lors à </w:t>
      </w:r>
      <w:r w:rsidR="00322265" w:rsidRPr="006E2F26">
        <w:rPr>
          <w:rFonts w:asciiTheme="minorHAnsi" w:hAnsiTheme="minorHAnsi" w:cstheme="minorHAnsi"/>
          <w:snapToGrid w:val="0"/>
          <w:lang w:eastAsia="fr-FR"/>
        </w:rPr>
        <w:t>L’A.S.B.L.</w:t>
      </w:r>
      <w:r w:rsidR="00B54E7F" w:rsidRPr="006E2F26">
        <w:rPr>
          <w:rFonts w:asciiTheme="minorHAnsi" w:hAnsiTheme="minorHAnsi" w:cstheme="minorHAnsi"/>
          <w:snapToGrid w:val="0"/>
          <w:lang w:eastAsia="fr-FR"/>
        </w:rPr>
        <w:t xml:space="preserve"> de fournir la preuve des motifs du licenciement invoqués </w:t>
      </w:r>
      <w:r w:rsidR="00574467" w:rsidRPr="006E2F26">
        <w:rPr>
          <w:rFonts w:asciiTheme="minorHAnsi" w:hAnsiTheme="minorHAnsi" w:cstheme="minorHAnsi"/>
          <w:snapToGrid w:val="0"/>
          <w:lang w:eastAsia="fr-FR"/>
        </w:rPr>
        <w:t>qui démontrent que le</w:t>
      </w:r>
      <w:r w:rsidR="00B54E7F" w:rsidRPr="006E2F26">
        <w:rPr>
          <w:rFonts w:asciiTheme="minorHAnsi" w:hAnsiTheme="minorHAnsi" w:cstheme="minorHAnsi"/>
          <w:snapToGrid w:val="0"/>
          <w:lang w:eastAsia="fr-FR"/>
        </w:rPr>
        <w:t xml:space="preserve"> licenciement n’est pas manifestement déraisonnable.</w:t>
      </w:r>
    </w:p>
    <w:p w14:paraId="79848C78" w14:textId="77777777" w:rsidR="00574467" w:rsidRPr="006E2F26" w:rsidRDefault="00574467" w:rsidP="001E537A">
      <w:pPr>
        <w:jc w:val="both"/>
        <w:rPr>
          <w:rFonts w:asciiTheme="minorHAnsi" w:hAnsiTheme="minorHAnsi" w:cstheme="minorHAnsi"/>
          <w:snapToGrid w:val="0"/>
          <w:lang w:eastAsia="fr-FR"/>
        </w:rPr>
      </w:pPr>
    </w:p>
    <w:p w14:paraId="6D0DD060" w14:textId="3BA77FCB" w:rsidR="001E537A" w:rsidRPr="006E2F26" w:rsidRDefault="00322265" w:rsidP="001E537A">
      <w:pPr>
        <w:jc w:val="both"/>
        <w:rPr>
          <w:rFonts w:asciiTheme="minorHAnsi" w:hAnsiTheme="minorHAnsi" w:cstheme="minorHAnsi"/>
          <w:snapToGrid w:val="0"/>
          <w:lang w:eastAsia="fr-FR"/>
        </w:rPr>
      </w:pPr>
      <w:r w:rsidRPr="006E2F26">
        <w:rPr>
          <w:rFonts w:asciiTheme="minorHAnsi" w:hAnsiTheme="minorHAnsi" w:cstheme="minorHAnsi"/>
          <w:snapToGrid w:val="0"/>
          <w:lang w:eastAsia="fr-FR"/>
        </w:rPr>
        <w:t>L’A.S.B.L.</w:t>
      </w:r>
      <w:r w:rsidR="002B7462" w:rsidRPr="006E2F26">
        <w:rPr>
          <w:rFonts w:asciiTheme="minorHAnsi" w:hAnsiTheme="minorHAnsi" w:cstheme="minorHAnsi"/>
          <w:snapToGrid w:val="0"/>
          <w:lang w:eastAsia="fr-FR"/>
        </w:rPr>
        <w:t xml:space="preserve"> invoque</w:t>
      </w:r>
      <w:r w:rsidR="00544EE3">
        <w:rPr>
          <w:rFonts w:asciiTheme="minorHAnsi" w:hAnsiTheme="minorHAnsi" w:cstheme="minorHAnsi"/>
          <w:snapToGrid w:val="0"/>
          <w:lang w:eastAsia="fr-FR"/>
        </w:rPr>
        <w:t>,</w:t>
      </w:r>
      <w:r w:rsidR="001E537A" w:rsidRPr="006E2F26">
        <w:rPr>
          <w:rFonts w:asciiTheme="minorHAnsi" w:hAnsiTheme="minorHAnsi" w:cstheme="minorHAnsi"/>
          <w:snapToGrid w:val="0"/>
          <w:lang w:eastAsia="fr-FR"/>
        </w:rPr>
        <w:t xml:space="preserve"> comme motifs du licenciement</w:t>
      </w:r>
      <w:r w:rsidR="00544EE3">
        <w:rPr>
          <w:rFonts w:asciiTheme="minorHAnsi" w:hAnsiTheme="minorHAnsi" w:cstheme="minorHAnsi"/>
          <w:snapToGrid w:val="0"/>
          <w:lang w:eastAsia="fr-FR"/>
        </w:rPr>
        <w:t>,</w:t>
      </w:r>
      <w:r w:rsidR="001E537A" w:rsidRPr="006E2F26">
        <w:rPr>
          <w:rFonts w:asciiTheme="minorHAnsi" w:hAnsiTheme="minorHAnsi" w:cstheme="minorHAnsi"/>
          <w:snapToGrid w:val="0"/>
          <w:lang w:eastAsia="fr-FR"/>
        </w:rPr>
        <w:t xml:space="preserve"> l’attitude de </w:t>
      </w:r>
      <w:r w:rsidR="008C7B4A" w:rsidRPr="006E2F26">
        <w:rPr>
          <w:rFonts w:asciiTheme="minorHAnsi" w:hAnsiTheme="minorHAnsi" w:cstheme="minorHAnsi"/>
          <w:snapToGrid w:val="0"/>
          <w:lang w:eastAsia="fr-FR"/>
        </w:rPr>
        <w:t>M.</w:t>
      </w:r>
      <w:r w:rsidRPr="006E2F26">
        <w:rPr>
          <w:rFonts w:asciiTheme="minorHAnsi" w:hAnsiTheme="minorHAnsi" w:cstheme="minorHAnsi"/>
          <w:snapToGrid w:val="0"/>
          <w:lang w:eastAsia="fr-FR"/>
        </w:rPr>
        <w:t xml:space="preserve"> </w:t>
      </w:r>
      <w:r w:rsidR="00961229">
        <w:rPr>
          <w:rFonts w:asciiTheme="minorHAnsi" w:hAnsiTheme="minorHAnsi" w:cstheme="minorHAnsi"/>
          <w:snapToGrid w:val="0"/>
          <w:lang w:eastAsia="fr-FR"/>
        </w:rPr>
        <w:t>M</w:t>
      </w:r>
      <w:r w:rsidR="001E537A" w:rsidRPr="006E2F26">
        <w:rPr>
          <w:rFonts w:asciiTheme="minorHAnsi" w:hAnsiTheme="minorHAnsi" w:cstheme="minorHAnsi"/>
          <w:snapToGrid w:val="0"/>
          <w:lang w:eastAsia="fr-FR"/>
        </w:rPr>
        <w:t>, consistant en du harcèlement moral, à l’égard des entraîneurs</w:t>
      </w:r>
      <w:r w:rsidR="00544EE3">
        <w:rPr>
          <w:rFonts w:asciiTheme="minorHAnsi" w:hAnsiTheme="minorHAnsi" w:cstheme="minorHAnsi"/>
          <w:snapToGrid w:val="0"/>
          <w:lang w:eastAsia="fr-FR"/>
        </w:rPr>
        <w:t>,</w:t>
      </w:r>
      <w:r w:rsidR="001E537A" w:rsidRPr="006E2F26">
        <w:rPr>
          <w:rFonts w:asciiTheme="minorHAnsi" w:hAnsiTheme="minorHAnsi" w:cstheme="minorHAnsi"/>
          <w:snapToGrid w:val="0"/>
          <w:lang w:eastAsia="fr-FR"/>
        </w:rPr>
        <w:t xml:space="preserve"> qui travaillaient sous ses ordres</w:t>
      </w:r>
      <w:r w:rsidR="00544EE3">
        <w:rPr>
          <w:rFonts w:asciiTheme="minorHAnsi" w:hAnsiTheme="minorHAnsi" w:cstheme="minorHAnsi"/>
          <w:snapToGrid w:val="0"/>
          <w:lang w:eastAsia="fr-FR"/>
        </w:rPr>
        <w:t>,</w:t>
      </w:r>
      <w:r w:rsidR="001E537A" w:rsidRPr="006E2F26">
        <w:rPr>
          <w:rFonts w:asciiTheme="minorHAnsi" w:hAnsiTheme="minorHAnsi" w:cstheme="minorHAnsi"/>
          <w:snapToGrid w:val="0"/>
          <w:lang w:eastAsia="fr-FR"/>
        </w:rPr>
        <w:t xml:space="preserve"> et des joueurs élites.</w:t>
      </w:r>
    </w:p>
    <w:p w14:paraId="45FFEB96" w14:textId="77777777" w:rsidR="00AC0B24" w:rsidRPr="006E2F26" w:rsidRDefault="00AC0B24" w:rsidP="001E537A">
      <w:pPr>
        <w:jc w:val="both"/>
        <w:rPr>
          <w:rFonts w:asciiTheme="minorHAnsi" w:hAnsiTheme="minorHAnsi" w:cstheme="minorHAnsi"/>
          <w:snapToGrid w:val="0"/>
          <w:lang w:eastAsia="fr-FR"/>
        </w:rPr>
      </w:pPr>
    </w:p>
    <w:p w14:paraId="05FDA4F3" w14:textId="77777777" w:rsidR="00AC0B24" w:rsidRPr="006E2F26" w:rsidRDefault="00AC0B24" w:rsidP="001E537A">
      <w:pPr>
        <w:jc w:val="both"/>
        <w:rPr>
          <w:rFonts w:asciiTheme="minorHAnsi" w:hAnsiTheme="minorHAnsi" w:cstheme="minorHAnsi"/>
          <w:snapToGrid w:val="0"/>
          <w:lang w:eastAsia="fr-FR"/>
        </w:rPr>
      </w:pPr>
      <w:r w:rsidRPr="006E2F26">
        <w:rPr>
          <w:rFonts w:asciiTheme="minorHAnsi" w:hAnsiTheme="minorHAnsi" w:cstheme="minorHAnsi"/>
          <w:snapToGrid w:val="0"/>
          <w:lang w:eastAsia="fr-FR"/>
        </w:rPr>
        <w:t xml:space="preserve">Pour justifier ces motifs, </w:t>
      </w:r>
      <w:r w:rsidR="00322265" w:rsidRPr="006E2F26">
        <w:rPr>
          <w:rFonts w:asciiTheme="minorHAnsi" w:hAnsiTheme="minorHAnsi" w:cstheme="minorHAnsi"/>
          <w:snapToGrid w:val="0"/>
          <w:lang w:eastAsia="fr-FR"/>
        </w:rPr>
        <w:t>L’A.S.B.L.</w:t>
      </w:r>
      <w:r w:rsidRPr="006E2F26">
        <w:rPr>
          <w:rFonts w:asciiTheme="minorHAnsi" w:hAnsiTheme="minorHAnsi" w:cstheme="minorHAnsi"/>
          <w:snapToGrid w:val="0"/>
          <w:lang w:eastAsia="fr-FR"/>
        </w:rPr>
        <w:t xml:space="preserve"> dépose les éléments suivants </w:t>
      </w:r>
      <w:r w:rsidR="002E32FA" w:rsidRPr="006E2F26">
        <w:rPr>
          <w:rFonts w:asciiTheme="minorHAnsi" w:hAnsiTheme="minorHAnsi" w:cstheme="minorHAnsi"/>
          <w:snapToGrid w:val="0"/>
          <w:lang w:eastAsia="fr-FR"/>
        </w:rPr>
        <w:t xml:space="preserve">que le Tribunal analyse comme suit </w:t>
      </w:r>
      <w:r w:rsidRPr="006E2F26">
        <w:rPr>
          <w:rFonts w:asciiTheme="minorHAnsi" w:hAnsiTheme="minorHAnsi" w:cstheme="minorHAnsi"/>
          <w:snapToGrid w:val="0"/>
          <w:lang w:eastAsia="fr-FR"/>
        </w:rPr>
        <w:t>:</w:t>
      </w:r>
    </w:p>
    <w:p w14:paraId="6EADAE61" w14:textId="77777777" w:rsidR="00AC0B24" w:rsidRPr="006E2F26" w:rsidRDefault="00AC0B24" w:rsidP="001E537A">
      <w:pPr>
        <w:jc w:val="both"/>
        <w:rPr>
          <w:rFonts w:asciiTheme="minorHAnsi" w:hAnsiTheme="minorHAnsi" w:cstheme="minorHAnsi"/>
          <w:snapToGrid w:val="0"/>
          <w:lang w:eastAsia="fr-FR"/>
        </w:rPr>
      </w:pPr>
    </w:p>
    <w:p w14:paraId="1807B09C" w14:textId="1A27BE50" w:rsidR="00955D7D" w:rsidRPr="006E2F26" w:rsidRDefault="002E32FA" w:rsidP="002E32FA">
      <w:pPr>
        <w:pStyle w:val="Paragraphedeliste"/>
        <w:numPr>
          <w:ilvl w:val="0"/>
          <w:numId w:val="18"/>
        </w:numPr>
        <w:jc w:val="both"/>
        <w:rPr>
          <w:rFonts w:asciiTheme="minorHAnsi" w:hAnsiTheme="minorHAnsi" w:cstheme="minorHAnsi"/>
          <w:snapToGrid w:val="0"/>
          <w:lang w:eastAsia="fr-FR"/>
        </w:rPr>
      </w:pPr>
      <w:r w:rsidRPr="006E2F26">
        <w:rPr>
          <w:rFonts w:asciiTheme="minorHAnsi" w:hAnsiTheme="minorHAnsi" w:cstheme="minorHAnsi"/>
          <w:snapToGrid w:val="0"/>
          <w:lang w:eastAsia="fr-FR"/>
        </w:rPr>
        <w:t>Les courriels de trois parents mécontent</w:t>
      </w:r>
      <w:r w:rsidR="005E2B74" w:rsidRPr="006E2F26">
        <w:rPr>
          <w:rFonts w:asciiTheme="minorHAnsi" w:hAnsiTheme="minorHAnsi" w:cstheme="minorHAnsi"/>
          <w:snapToGrid w:val="0"/>
          <w:lang w:eastAsia="fr-FR"/>
        </w:rPr>
        <w:t>s</w:t>
      </w:r>
      <w:r w:rsidRPr="006E2F26">
        <w:rPr>
          <w:rFonts w:asciiTheme="minorHAnsi" w:hAnsiTheme="minorHAnsi" w:cstheme="minorHAnsi"/>
          <w:snapToGrid w:val="0"/>
          <w:lang w:eastAsia="fr-FR"/>
        </w:rPr>
        <w:t xml:space="preserve"> dont le premier </w:t>
      </w:r>
      <w:r w:rsidR="00955D7D" w:rsidRPr="006E2F26">
        <w:rPr>
          <w:rFonts w:asciiTheme="minorHAnsi" w:hAnsiTheme="minorHAnsi" w:cstheme="minorHAnsi"/>
          <w:snapToGrid w:val="0"/>
          <w:lang w:eastAsia="fr-FR"/>
        </w:rPr>
        <w:t>demande l</w:t>
      </w:r>
      <w:r w:rsidRPr="006E2F26">
        <w:rPr>
          <w:rFonts w:asciiTheme="minorHAnsi" w:hAnsiTheme="minorHAnsi" w:cstheme="minorHAnsi"/>
          <w:snapToGrid w:val="0"/>
          <w:lang w:eastAsia="fr-FR"/>
        </w:rPr>
        <w:t>a discrétion pour ne pas que son fils</w:t>
      </w:r>
      <w:r w:rsidR="00955D7D" w:rsidRPr="006E2F26">
        <w:rPr>
          <w:rFonts w:asciiTheme="minorHAnsi" w:hAnsiTheme="minorHAnsi" w:cstheme="minorHAnsi"/>
          <w:snapToGrid w:val="0"/>
          <w:lang w:eastAsia="fr-FR"/>
        </w:rPr>
        <w:t xml:space="preserve"> se fasse harceler par </w:t>
      </w:r>
      <w:r w:rsidRPr="006E2F26">
        <w:rPr>
          <w:rFonts w:asciiTheme="minorHAnsi" w:hAnsiTheme="minorHAnsi" w:cstheme="minorHAnsi"/>
          <w:snapToGrid w:val="0"/>
          <w:lang w:eastAsia="fr-FR"/>
        </w:rPr>
        <w:t>« </w:t>
      </w:r>
      <w:r w:rsidR="00955D7D" w:rsidRPr="006E2F26">
        <w:rPr>
          <w:rFonts w:asciiTheme="minorHAnsi" w:hAnsiTheme="minorHAnsi" w:cstheme="minorHAnsi"/>
          <w:i/>
          <w:snapToGrid w:val="0"/>
          <w:lang w:eastAsia="fr-FR"/>
        </w:rPr>
        <w:t>les</w:t>
      </w:r>
      <w:r w:rsidRPr="006E2F26">
        <w:rPr>
          <w:rFonts w:asciiTheme="minorHAnsi" w:hAnsiTheme="minorHAnsi" w:cstheme="minorHAnsi"/>
          <w:snapToGrid w:val="0"/>
          <w:lang w:eastAsia="fr-FR"/>
        </w:rPr>
        <w:t xml:space="preserve"> » entraîneurs ; le deuxième qui </w:t>
      </w:r>
      <w:r w:rsidR="00955D7D" w:rsidRPr="006E2F26">
        <w:rPr>
          <w:rFonts w:asciiTheme="minorHAnsi" w:hAnsiTheme="minorHAnsi" w:cstheme="minorHAnsi"/>
          <w:snapToGrid w:val="0"/>
          <w:lang w:eastAsia="fr-FR"/>
        </w:rPr>
        <w:t>critique</w:t>
      </w:r>
      <w:r w:rsidRPr="006E2F26">
        <w:rPr>
          <w:rFonts w:asciiTheme="minorHAnsi" w:hAnsiTheme="minorHAnsi" w:cstheme="minorHAnsi"/>
          <w:snapToGrid w:val="0"/>
          <w:lang w:eastAsia="fr-FR"/>
        </w:rPr>
        <w:t xml:space="preserve"> </w:t>
      </w:r>
      <w:r w:rsidR="00955D7D" w:rsidRPr="006E2F26">
        <w:rPr>
          <w:rFonts w:asciiTheme="minorHAnsi" w:hAnsiTheme="minorHAnsi" w:cstheme="minorHAnsi"/>
          <w:snapToGrid w:val="0"/>
          <w:lang w:eastAsia="fr-FR"/>
        </w:rPr>
        <w:t>le fait que son fils soit « </w:t>
      </w:r>
      <w:r w:rsidR="00955D7D" w:rsidRPr="006E2F26">
        <w:rPr>
          <w:rFonts w:asciiTheme="minorHAnsi" w:hAnsiTheme="minorHAnsi" w:cstheme="minorHAnsi"/>
          <w:i/>
          <w:snapToGrid w:val="0"/>
          <w:lang w:eastAsia="fr-FR"/>
        </w:rPr>
        <w:t>éjecté de l’équipe</w:t>
      </w:r>
      <w:r w:rsidR="00955D7D" w:rsidRPr="006E2F26">
        <w:rPr>
          <w:rFonts w:asciiTheme="minorHAnsi" w:hAnsiTheme="minorHAnsi" w:cstheme="minorHAnsi"/>
          <w:snapToGrid w:val="0"/>
          <w:lang w:eastAsia="fr-FR"/>
        </w:rPr>
        <w:t> » en semblant mettre en cause « </w:t>
      </w:r>
      <w:r w:rsidR="00955D7D" w:rsidRPr="006E2F26">
        <w:rPr>
          <w:rFonts w:asciiTheme="minorHAnsi" w:hAnsiTheme="minorHAnsi" w:cstheme="minorHAnsi"/>
          <w:i/>
          <w:snapToGrid w:val="0"/>
          <w:lang w:eastAsia="fr-FR"/>
        </w:rPr>
        <w:t>De et Da</w:t>
      </w:r>
      <w:r w:rsidR="00955D7D" w:rsidRPr="006E2F26">
        <w:rPr>
          <w:rFonts w:asciiTheme="minorHAnsi" w:hAnsiTheme="minorHAnsi" w:cstheme="minorHAnsi"/>
          <w:snapToGrid w:val="0"/>
          <w:lang w:eastAsia="fr-FR"/>
        </w:rPr>
        <w:t> » ;</w:t>
      </w:r>
      <w:r w:rsidRPr="006E2F26">
        <w:rPr>
          <w:rFonts w:asciiTheme="minorHAnsi" w:hAnsiTheme="minorHAnsi" w:cstheme="minorHAnsi"/>
          <w:snapToGrid w:val="0"/>
          <w:lang w:eastAsia="fr-FR"/>
        </w:rPr>
        <w:t xml:space="preserve"> le troisième qui p</w:t>
      </w:r>
      <w:r w:rsidR="00955D7D" w:rsidRPr="006E2F26">
        <w:rPr>
          <w:rFonts w:asciiTheme="minorHAnsi" w:hAnsiTheme="minorHAnsi" w:cstheme="minorHAnsi"/>
          <w:snapToGrid w:val="0"/>
          <w:lang w:eastAsia="fr-FR"/>
        </w:rPr>
        <w:t xml:space="preserve">récise </w:t>
      </w:r>
      <w:r w:rsidRPr="006E2F26">
        <w:rPr>
          <w:rFonts w:asciiTheme="minorHAnsi" w:hAnsiTheme="minorHAnsi" w:cstheme="minorHAnsi"/>
          <w:snapToGrid w:val="0"/>
          <w:lang w:eastAsia="fr-FR"/>
        </w:rPr>
        <w:t>qu’</w:t>
      </w:r>
      <w:r w:rsidR="00955D7D" w:rsidRPr="006E2F26">
        <w:rPr>
          <w:rFonts w:asciiTheme="minorHAnsi" w:hAnsiTheme="minorHAnsi" w:cstheme="minorHAnsi"/>
          <w:snapToGrid w:val="0"/>
          <w:lang w:eastAsia="fr-FR"/>
        </w:rPr>
        <w:t>il lui était impo</w:t>
      </w:r>
      <w:r w:rsidRPr="006E2F26">
        <w:rPr>
          <w:rFonts w:asciiTheme="minorHAnsi" w:hAnsiTheme="minorHAnsi" w:cstheme="minorHAnsi"/>
          <w:snapToGrid w:val="0"/>
          <w:lang w:eastAsia="fr-FR"/>
        </w:rPr>
        <w:t xml:space="preserve">ssible de communiquer avec </w:t>
      </w:r>
      <w:r w:rsidR="008C7B4A" w:rsidRPr="006E2F26">
        <w:rPr>
          <w:rFonts w:asciiTheme="minorHAnsi" w:hAnsiTheme="minorHAnsi" w:cstheme="minorHAnsi"/>
          <w:snapToGrid w:val="0"/>
          <w:lang w:eastAsia="fr-FR"/>
        </w:rPr>
        <w:t>M.</w:t>
      </w:r>
      <w:r w:rsidR="00322265" w:rsidRPr="006E2F26">
        <w:rPr>
          <w:rFonts w:asciiTheme="minorHAnsi" w:hAnsiTheme="minorHAnsi" w:cstheme="minorHAnsi"/>
          <w:snapToGrid w:val="0"/>
          <w:lang w:eastAsia="fr-FR"/>
        </w:rPr>
        <w:t xml:space="preserve"> </w:t>
      </w:r>
      <w:r w:rsidR="00961229">
        <w:rPr>
          <w:rFonts w:asciiTheme="minorHAnsi" w:hAnsiTheme="minorHAnsi" w:cstheme="minorHAnsi"/>
          <w:snapToGrid w:val="0"/>
          <w:lang w:eastAsia="fr-FR"/>
        </w:rPr>
        <w:t>M</w:t>
      </w:r>
      <w:r w:rsidRPr="006E2F26">
        <w:rPr>
          <w:rFonts w:asciiTheme="minorHAnsi" w:hAnsiTheme="minorHAnsi" w:cstheme="minorHAnsi"/>
          <w:snapToGrid w:val="0"/>
          <w:lang w:eastAsia="fr-FR"/>
        </w:rPr>
        <w:t xml:space="preserve"> (mais dont le Tribunal relèvera ci-dessous qu’au même moment, il remerciait </w:t>
      </w:r>
      <w:r w:rsidR="008C7B4A" w:rsidRPr="006E2F26">
        <w:rPr>
          <w:rFonts w:asciiTheme="minorHAnsi" w:hAnsiTheme="minorHAnsi" w:cstheme="minorHAnsi"/>
          <w:snapToGrid w:val="0"/>
          <w:lang w:eastAsia="fr-FR"/>
        </w:rPr>
        <w:t>M.</w:t>
      </w:r>
      <w:r w:rsidR="00322265" w:rsidRPr="006E2F26">
        <w:rPr>
          <w:rFonts w:asciiTheme="minorHAnsi" w:hAnsiTheme="minorHAnsi" w:cstheme="minorHAnsi"/>
          <w:snapToGrid w:val="0"/>
          <w:lang w:eastAsia="fr-FR"/>
        </w:rPr>
        <w:t xml:space="preserve"> </w:t>
      </w:r>
      <w:r w:rsidR="00961229">
        <w:rPr>
          <w:rFonts w:asciiTheme="minorHAnsi" w:hAnsiTheme="minorHAnsi" w:cstheme="minorHAnsi"/>
          <w:snapToGrid w:val="0"/>
          <w:lang w:eastAsia="fr-FR"/>
        </w:rPr>
        <w:t>M</w:t>
      </w:r>
      <w:r w:rsidRPr="006E2F26">
        <w:rPr>
          <w:rFonts w:asciiTheme="minorHAnsi" w:hAnsiTheme="minorHAnsi" w:cstheme="minorHAnsi"/>
          <w:snapToGrid w:val="0"/>
          <w:lang w:eastAsia="fr-FR"/>
        </w:rPr>
        <w:t>).</w:t>
      </w:r>
    </w:p>
    <w:p w14:paraId="7A0EFD67" w14:textId="77777777" w:rsidR="00C93DE6" w:rsidRPr="006E2F26" w:rsidRDefault="00955D7D" w:rsidP="00C93DE6">
      <w:pPr>
        <w:pStyle w:val="Paragraphedeliste"/>
        <w:numPr>
          <w:ilvl w:val="0"/>
          <w:numId w:val="18"/>
        </w:numPr>
        <w:jc w:val="both"/>
        <w:rPr>
          <w:rFonts w:asciiTheme="minorHAnsi" w:hAnsiTheme="minorHAnsi" w:cstheme="minorHAnsi"/>
          <w:snapToGrid w:val="0"/>
          <w:lang w:eastAsia="fr-FR"/>
        </w:rPr>
      </w:pPr>
      <w:r w:rsidRPr="006E2F26">
        <w:rPr>
          <w:rFonts w:asciiTheme="minorHAnsi" w:hAnsiTheme="minorHAnsi" w:cstheme="minorHAnsi"/>
          <w:snapToGrid w:val="0"/>
          <w:lang w:eastAsia="fr-FR"/>
        </w:rPr>
        <w:t>Un problème</w:t>
      </w:r>
      <w:r w:rsidR="00C93DE6" w:rsidRPr="006E2F26">
        <w:rPr>
          <w:rFonts w:asciiTheme="minorHAnsi" w:hAnsiTheme="minorHAnsi" w:cstheme="minorHAnsi"/>
          <w:snapToGrid w:val="0"/>
          <w:lang w:eastAsia="fr-FR"/>
        </w:rPr>
        <w:t xml:space="preserve"> </w:t>
      </w:r>
      <w:r w:rsidRPr="006E2F26">
        <w:rPr>
          <w:rFonts w:asciiTheme="minorHAnsi" w:hAnsiTheme="minorHAnsi" w:cstheme="minorHAnsi"/>
          <w:snapToGrid w:val="0"/>
          <w:lang w:eastAsia="fr-FR"/>
        </w:rPr>
        <w:t>est soulevé</w:t>
      </w:r>
      <w:r w:rsidR="00C93DE6" w:rsidRPr="006E2F26">
        <w:rPr>
          <w:rFonts w:asciiTheme="minorHAnsi" w:hAnsiTheme="minorHAnsi" w:cstheme="minorHAnsi"/>
          <w:snapToGrid w:val="0"/>
          <w:lang w:eastAsia="fr-FR"/>
        </w:rPr>
        <w:t xml:space="preserve"> par le Conseil d’Administration de la Fédération </w:t>
      </w:r>
      <w:r w:rsidR="00C93DE6" w:rsidRPr="006E2F26">
        <w:rPr>
          <w:rFonts w:asciiTheme="minorHAnsi" w:hAnsiTheme="minorHAnsi" w:cstheme="minorHAnsi"/>
          <w:snapToGrid w:val="0"/>
          <w:lang w:eastAsia="fr-FR"/>
        </w:rPr>
        <w:lastRenderedPageBreak/>
        <w:t>Nationale le 26 août 2019</w:t>
      </w:r>
      <w:r w:rsidR="002E32FA" w:rsidRPr="006E2F26">
        <w:rPr>
          <w:rFonts w:asciiTheme="minorHAnsi" w:hAnsiTheme="minorHAnsi" w:cstheme="minorHAnsi"/>
          <w:snapToGrid w:val="0"/>
          <w:lang w:eastAsia="fr-FR"/>
        </w:rPr>
        <w:t xml:space="preserve">. </w:t>
      </w:r>
      <w:r w:rsidRPr="006E2F26">
        <w:rPr>
          <w:rFonts w:asciiTheme="minorHAnsi" w:hAnsiTheme="minorHAnsi" w:cstheme="minorHAnsi"/>
          <w:snapToGrid w:val="0"/>
          <w:lang w:eastAsia="fr-FR"/>
        </w:rPr>
        <w:t>Il y est fait état de conflit</w:t>
      </w:r>
      <w:r w:rsidR="002E32FA" w:rsidRPr="006E2F26">
        <w:rPr>
          <w:rFonts w:asciiTheme="minorHAnsi" w:hAnsiTheme="minorHAnsi" w:cstheme="minorHAnsi"/>
          <w:snapToGrid w:val="0"/>
          <w:lang w:eastAsia="fr-FR"/>
        </w:rPr>
        <w:t>s</w:t>
      </w:r>
      <w:r w:rsidRPr="006E2F26">
        <w:rPr>
          <w:rFonts w:asciiTheme="minorHAnsi" w:hAnsiTheme="minorHAnsi" w:cstheme="minorHAnsi"/>
          <w:snapToGrid w:val="0"/>
          <w:lang w:eastAsia="fr-FR"/>
        </w:rPr>
        <w:t xml:space="preserve"> entre </w:t>
      </w:r>
      <w:r w:rsidR="002E32FA" w:rsidRPr="006E2F26">
        <w:rPr>
          <w:rFonts w:asciiTheme="minorHAnsi" w:hAnsiTheme="minorHAnsi" w:cstheme="minorHAnsi"/>
          <w:snapToGrid w:val="0"/>
          <w:lang w:eastAsia="fr-FR"/>
        </w:rPr>
        <w:t>entraineurs</w:t>
      </w:r>
      <w:r w:rsidRPr="006E2F26">
        <w:rPr>
          <w:rFonts w:asciiTheme="minorHAnsi" w:hAnsiTheme="minorHAnsi" w:cstheme="minorHAnsi"/>
          <w:snapToGrid w:val="0"/>
          <w:lang w:eastAsia="fr-FR"/>
        </w:rPr>
        <w:t xml:space="preserve"> et de </w:t>
      </w:r>
      <w:r w:rsidR="00EA1534" w:rsidRPr="006E2F26">
        <w:rPr>
          <w:rFonts w:asciiTheme="minorHAnsi" w:hAnsiTheme="minorHAnsi" w:cstheme="minorHAnsi"/>
          <w:snapToGrid w:val="0"/>
          <w:lang w:eastAsia="fr-FR"/>
        </w:rPr>
        <w:t>problèmes liés</w:t>
      </w:r>
      <w:r w:rsidRPr="006E2F26">
        <w:rPr>
          <w:rFonts w:asciiTheme="minorHAnsi" w:hAnsiTheme="minorHAnsi" w:cstheme="minorHAnsi"/>
          <w:snapToGrid w:val="0"/>
          <w:lang w:eastAsia="fr-FR"/>
        </w:rPr>
        <w:t xml:space="preserve"> aux sélections « </w:t>
      </w:r>
      <w:r w:rsidRPr="006E2F26">
        <w:rPr>
          <w:rFonts w:asciiTheme="minorHAnsi" w:hAnsiTheme="minorHAnsi" w:cstheme="minorHAnsi"/>
          <w:i/>
          <w:snapToGrid w:val="0"/>
          <w:lang w:eastAsia="fr-FR"/>
        </w:rPr>
        <w:t>au niveau des jeunes du fait  du responsab</w:t>
      </w:r>
      <w:r w:rsidR="002E32FA" w:rsidRPr="006E2F26">
        <w:rPr>
          <w:rFonts w:asciiTheme="minorHAnsi" w:hAnsiTheme="minorHAnsi" w:cstheme="minorHAnsi"/>
          <w:i/>
          <w:snapToGrid w:val="0"/>
          <w:lang w:eastAsia="fr-FR"/>
        </w:rPr>
        <w:t>le des entraîneurs francophones</w:t>
      </w:r>
      <w:r w:rsidR="002E32FA" w:rsidRPr="006E2F26">
        <w:rPr>
          <w:rFonts w:asciiTheme="minorHAnsi" w:hAnsiTheme="minorHAnsi" w:cstheme="minorHAnsi"/>
          <w:snapToGrid w:val="0"/>
          <w:lang w:eastAsia="fr-FR"/>
        </w:rPr>
        <w:t> ».</w:t>
      </w:r>
    </w:p>
    <w:p w14:paraId="2C1C431E" w14:textId="69DD53E0" w:rsidR="00C93DE6" w:rsidRPr="006E2F26" w:rsidRDefault="001A69D5" w:rsidP="001A69D5">
      <w:pPr>
        <w:pStyle w:val="Paragraphedeliste"/>
        <w:numPr>
          <w:ilvl w:val="0"/>
          <w:numId w:val="18"/>
        </w:numPr>
        <w:jc w:val="both"/>
        <w:rPr>
          <w:rFonts w:asciiTheme="minorHAnsi" w:hAnsiTheme="minorHAnsi" w:cstheme="minorHAnsi"/>
          <w:snapToGrid w:val="0"/>
          <w:lang w:eastAsia="fr-FR"/>
        </w:rPr>
      </w:pPr>
      <w:r w:rsidRPr="006E2F26">
        <w:rPr>
          <w:rFonts w:asciiTheme="minorHAnsi" w:hAnsiTheme="minorHAnsi" w:cstheme="minorHAnsi"/>
          <w:snapToGrid w:val="0"/>
          <w:lang w:eastAsia="fr-FR"/>
        </w:rPr>
        <w:t xml:space="preserve">Dans un </w:t>
      </w:r>
      <w:r w:rsidR="00C93DE6" w:rsidRPr="006E2F26">
        <w:rPr>
          <w:rFonts w:asciiTheme="minorHAnsi" w:hAnsiTheme="minorHAnsi" w:cstheme="minorHAnsi"/>
          <w:snapToGrid w:val="0"/>
          <w:lang w:eastAsia="fr-FR"/>
        </w:rPr>
        <w:t>courrier</w:t>
      </w:r>
      <w:r w:rsidRPr="006E2F26">
        <w:rPr>
          <w:rFonts w:asciiTheme="minorHAnsi" w:hAnsiTheme="minorHAnsi" w:cstheme="minorHAnsi"/>
          <w:snapToGrid w:val="0"/>
          <w:lang w:eastAsia="fr-FR"/>
        </w:rPr>
        <w:t xml:space="preserve"> du 15 octobre 2019</w:t>
      </w:r>
      <w:r w:rsidR="00C93DE6" w:rsidRPr="006E2F26">
        <w:rPr>
          <w:rFonts w:asciiTheme="minorHAnsi" w:hAnsiTheme="minorHAnsi" w:cstheme="minorHAnsi"/>
          <w:snapToGrid w:val="0"/>
          <w:lang w:eastAsia="fr-FR"/>
        </w:rPr>
        <w:t xml:space="preserve"> adressé par </w:t>
      </w:r>
      <w:r w:rsidR="008C7B4A" w:rsidRPr="006E2F26">
        <w:rPr>
          <w:rFonts w:asciiTheme="minorHAnsi" w:hAnsiTheme="minorHAnsi" w:cstheme="minorHAnsi"/>
          <w:snapToGrid w:val="0"/>
          <w:lang w:eastAsia="fr-FR"/>
        </w:rPr>
        <w:t>M.</w:t>
      </w:r>
      <w:r w:rsidR="00C93DE6" w:rsidRPr="006E2F26">
        <w:rPr>
          <w:rFonts w:asciiTheme="minorHAnsi" w:hAnsiTheme="minorHAnsi" w:cstheme="minorHAnsi"/>
          <w:snapToGrid w:val="0"/>
          <w:lang w:eastAsia="fr-FR"/>
        </w:rPr>
        <w:t xml:space="preserve"> </w:t>
      </w:r>
      <w:r w:rsidR="00961229">
        <w:rPr>
          <w:rFonts w:asciiTheme="minorHAnsi" w:hAnsiTheme="minorHAnsi" w:cstheme="minorHAnsi"/>
          <w:snapToGrid w:val="0"/>
          <w:lang w:eastAsia="fr-FR"/>
        </w:rPr>
        <w:t>M</w:t>
      </w:r>
      <w:r w:rsidR="00C93DE6" w:rsidRPr="006E2F26">
        <w:rPr>
          <w:rFonts w:asciiTheme="minorHAnsi" w:hAnsiTheme="minorHAnsi" w:cstheme="minorHAnsi"/>
          <w:snapToGrid w:val="0"/>
          <w:lang w:eastAsia="fr-FR"/>
        </w:rPr>
        <w:t xml:space="preserve"> à </w:t>
      </w:r>
      <w:r w:rsidR="008C7B4A" w:rsidRPr="006E2F26">
        <w:rPr>
          <w:rFonts w:asciiTheme="minorHAnsi" w:hAnsiTheme="minorHAnsi" w:cstheme="minorHAnsi"/>
          <w:snapToGrid w:val="0"/>
          <w:lang w:eastAsia="fr-FR"/>
        </w:rPr>
        <w:t>M.</w:t>
      </w:r>
      <w:r w:rsidR="00C93DE6" w:rsidRPr="006E2F26">
        <w:rPr>
          <w:rFonts w:asciiTheme="minorHAnsi" w:hAnsiTheme="minorHAnsi" w:cstheme="minorHAnsi"/>
          <w:snapToGrid w:val="0"/>
          <w:lang w:eastAsia="fr-FR"/>
        </w:rPr>
        <w:t xml:space="preserve"> </w:t>
      </w:r>
      <w:r w:rsidR="00961229">
        <w:rPr>
          <w:rFonts w:asciiTheme="minorHAnsi" w:hAnsiTheme="minorHAnsi" w:cstheme="minorHAnsi"/>
          <w:snapToGrid w:val="0"/>
          <w:lang w:eastAsia="fr-FR"/>
        </w:rPr>
        <w:t>X</w:t>
      </w:r>
      <w:r w:rsidR="00C93DE6" w:rsidRPr="006E2F26">
        <w:rPr>
          <w:rFonts w:asciiTheme="minorHAnsi" w:hAnsiTheme="minorHAnsi" w:cstheme="minorHAnsi"/>
          <w:snapToGrid w:val="0"/>
          <w:lang w:eastAsia="fr-FR"/>
        </w:rPr>
        <w:t>, Secrétaire Général</w:t>
      </w:r>
      <w:r w:rsidRPr="006E2F26">
        <w:rPr>
          <w:rFonts w:asciiTheme="minorHAnsi" w:hAnsiTheme="minorHAnsi" w:cstheme="minorHAnsi"/>
          <w:snapToGrid w:val="0"/>
          <w:lang w:eastAsia="fr-FR"/>
        </w:rPr>
        <w:t>, il</w:t>
      </w:r>
      <w:r w:rsidR="00C93DE6" w:rsidRPr="006E2F26">
        <w:rPr>
          <w:rFonts w:asciiTheme="minorHAnsi" w:hAnsiTheme="minorHAnsi" w:cstheme="minorHAnsi"/>
          <w:snapToGrid w:val="0"/>
          <w:lang w:eastAsia="fr-FR"/>
        </w:rPr>
        <w:t xml:space="preserve"> indique :</w:t>
      </w:r>
      <w:r w:rsidRPr="006E2F26">
        <w:rPr>
          <w:rFonts w:asciiTheme="minorHAnsi" w:hAnsiTheme="minorHAnsi" w:cstheme="minorHAnsi"/>
          <w:snapToGrid w:val="0"/>
          <w:lang w:eastAsia="fr-FR"/>
        </w:rPr>
        <w:t xml:space="preserve"> </w:t>
      </w:r>
      <w:r w:rsidR="00C93DE6" w:rsidRPr="006E2F26">
        <w:rPr>
          <w:rFonts w:asciiTheme="minorHAnsi" w:hAnsiTheme="minorHAnsi" w:cstheme="minorHAnsi"/>
          <w:snapToGrid w:val="0"/>
          <w:lang w:eastAsia="fr-FR"/>
        </w:rPr>
        <w:t xml:space="preserve">« </w:t>
      </w:r>
      <w:r w:rsidR="00C93DE6" w:rsidRPr="006E2F26">
        <w:rPr>
          <w:rFonts w:asciiTheme="minorHAnsi" w:hAnsiTheme="minorHAnsi" w:cstheme="minorHAnsi"/>
          <w:i/>
          <w:snapToGrid w:val="0"/>
          <w:lang w:eastAsia="fr-FR"/>
        </w:rPr>
        <w:t>Pour ma pa</w:t>
      </w:r>
      <w:r w:rsidR="002E32FA" w:rsidRPr="006E2F26">
        <w:rPr>
          <w:rFonts w:asciiTheme="minorHAnsi" w:hAnsiTheme="minorHAnsi" w:cstheme="minorHAnsi"/>
          <w:i/>
          <w:snapToGrid w:val="0"/>
          <w:lang w:eastAsia="fr-FR"/>
        </w:rPr>
        <w:t>rt, je cherche déjà à partir</w:t>
      </w:r>
      <w:r w:rsidR="002E32FA" w:rsidRPr="006E2F26">
        <w:rPr>
          <w:rFonts w:asciiTheme="minorHAnsi" w:hAnsiTheme="minorHAnsi" w:cstheme="minorHAnsi"/>
          <w:snapToGrid w:val="0"/>
          <w:lang w:eastAsia="fr-FR"/>
        </w:rPr>
        <w:t xml:space="preserve">» mais immédiatement </w:t>
      </w:r>
      <w:r w:rsidR="00EA43CB" w:rsidRPr="006E2F26">
        <w:rPr>
          <w:rFonts w:asciiTheme="minorHAnsi" w:hAnsiTheme="minorHAnsi" w:cstheme="minorHAnsi"/>
          <w:snapToGrid w:val="0"/>
          <w:lang w:eastAsia="fr-FR"/>
        </w:rPr>
        <w:t xml:space="preserve">après il dit qu’il partagerait </w:t>
      </w:r>
      <w:r w:rsidR="002E32FA" w:rsidRPr="006E2F26">
        <w:rPr>
          <w:rFonts w:asciiTheme="minorHAnsi" w:hAnsiTheme="minorHAnsi" w:cstheme="minorHAnsi"/>
          <w:snapToGrid w:val="0"/>
          <w:lang w:eastAsia="fr-FR"/>
        </w:rPr>
        <w:t>avec plaisir un projet qui lui correspond.</w:t>
      </w:r>
      <w:r w:rsidRPr="006E2F26">
        <w:rPr>
          <w:rFonts w:asciiTheme="minorHAnsi" w:hAnsiTheme="minorHAnsi" w:cstheme="minorHAnsi"/>
          <w:snapToGrid w:val="0"/>
          <w:lang w:eastAsia="fr-FR"/>
        </w:rPr>
        <w:t xml:space="preserve"> </w:t>
      </w:r>
      <w:r w:rsidR="002E32FA" w:rsidRPr="006E2F26">
        <w:rPr>
          <w:rFonts w:asciiTheme="minorHAnsi" w:hAnsiTheme="minorHAnsi" w:cstheme="minorHAnsi"/>
          <w:snapToGrid w:val="0"/>
          <w:lang w:eastAsia="fr-FR"/>
        </w:rPr>
        <w:t>P</w:t>
      </w:r>
      <w:r w:rsidRPr="006E2F26">
        <w:rPr>
          <w:rFonts w:asciiTheme="minorHAnsi" w:hAnsiTheme="minorHAnsi" w:cstheme="minorHAnsi"/>
          <w:snapToGrid w:val="0"/>
          <w:lang w:eastAsia="fr-FR"/>
        </w:rPr>
        <w:t>our le reste, il fait état de conflits et relations difficiles sans se mettre personnellement en cause, contrairement à ce qu</w:t>
      </w:r>
      <w:r w:rsidR="002E32FA" w:rsidRPr="006E2F26">
        <w:rPr>
          <w:rFonts w:asciiTheme="minorHAnsi" w:hAnsiTheme="minorHAnsi" w:cstheme="minorHAnsi"/>
          <w:snapToGrid w:val="0"/>
          <w:lang w:eastAsia="fr-FR"/>
        </w:rPr>
        <w:t xml:space="preserve">e tente de dire </w:t>
      </w:r>
      <w:r w:rsidR="00F6216E">
        <w:rPr>
          <w:rFonts w:asciiTheme="minorHAnsi" w:hAnsiTheme="minorHAnsi" w:cstheme="minorHAnsi"/>
          <w:snapToGrid w:val="0"/>
          <w:lang w:eastAsia="fr-FR"/>
        </w:rPr>
        <w:t>l</w:t>
      </w:r>
      <w:r w:rsidR="00322265" w:rsidRPr="006E2F26">
        <w:rPr>
          <w:rFonts w:asciiTheme="minorHAnsi" w:hAnsiTheme="minorHAnsi" w:cstheme="minorHAnsi"/>
          <w:snapToGrid w:val="0"/>
          <w:lang w:eastAsia="fr-FR"/>
        </w:rPr>
        <w:t>’A.S.B.L.</w:t>
      </w:r>
    </w:p>
    <w:p w14:paraId="5347A28D" w14:textId="32ABF11E" w:rsidR="00C93DE6" w:rsidRPr="006E2F26" w:rsidRDefault="002E32FA" w:rsidP="00C93DE6">
      <w:pPr>
        <w:pStyle w:val="Paragraphedeliste"/>
        <w:numPr>
          <w:ilvl w:val="0"/>
          <w:numId w:val="18"/>
        </w:numPr>
        <w:jc w:val="both"/>
        <w:rPr>
          <w:rFonts w:asciiTheme="minorHAnsi" w:hAnsiTheme="minorHAnsi" w:cstheme="minorHAnsi"/>
          <w:snapToGrid w:val="0"/>
          <w:lang w:eastAsia="fr-FR"/>
        </w:rPr>
      </w:pPr>
      <w:r w:rsidRPr="006E2F26">
        <w:rPr>
          <w:rFonts w:asciiTheme="minorHAnsi" w:hAnsiTheme="minorHAnsi" w:cstheme="minorHAnsi"/>
          <w:snapToGrid w:val="0"/>
          <w:lang w:eastAsia="fr-FR"/>
        </w:rPr>
        <w:t xml:space="preserve">Dans un </w:t>
      </w:r>
      <w:r w:rsidR="00C93DE6" w:rsidRPr="006E2F26">
        <w:rPr>
          <w:rFonts w:asciiTheme="minorHAnsi" w:hAnsiTheme="minorHAnsi" w:cstheme="minorHAnsi"/>
          <w:snapToGrid w:val="0"/>
          <w:lang w:eastAsia="fr-FR"/>
        </w:rPr>
        <w:t xml:space="preserve">courriel adressé par </w:t>
      </w:r>
      <w:r w:rsidR="008C7B4A" w:rsidRPr="006E2F26">
        <w:rPr>
          <w:rFonts w:asciiTheme="minorHAnsi" w:hAnsiTheme="minorHAnsi" w:cstheme="minorHAnsi"/>
          <w:snapToGrid w:val="0"/>
          <w:lang w:eastAsia="fr-FR"/>
        </w:rPr>
        <w:t>M.</w:t>
      </w:r>
      <w:r w:rsidR="00322265" w:rsidRPr="006E2F26">
        <w:rPr>
          <w:rFonts w:asciiTheme="minorHAnsi" w:hAnsiTheme="minorHAnsi" w:cstheme="minorHAnsi"/>
          <w:snapToGrid w:val="0"/>
          <w:lang w:eastAsia="fr-FR"/>
        </w:rPr>
        <w:t xml:space="preserve"> </w:t>
      </w:r>
      <w:r w:rsidR="00961229">
        <w:rPr>
          <w:rFonts w:asciiTheme="minorHAnsi" w:hAnsiTheme="minorHAnsi" w:cstheme="minorHAnsi"/>
          <w:snapToGrid w:val="0"/>
          <w:lang w:eastAsia="fr-FR"/>
        </w:rPr>
        <w:t>M</w:t>
      </w:r>
      <w:r w:rsidR="00C93DE6" w:rsidRPr="006E2F26">
        <w:rPr>
          <w:rFonts w:asciiTheme="minorHAnsi" w:hAnsiTheme="minorHAnsi" w:cstheme="minorHAnsi"/>
          <w:snapToGrid w:val="0"/>
          <w:lang w:eastAsia="fr-FR"/>
        </w:rPr>
        <w:t xml:space="preserve"> </w:t>
      </w:r>
      <w:r w:rsidR="001F1AE7" w:rsidRPr="006E2F26">
        <w:rPr>
          <w:rFonts w:asciiTheme="minorHAnsi" w:hAnsiTheme="minorHAnsi" w:cstheme="minorHAnsi"/>
          <w:snapToGrid w:val="0"/>
          <w:lang w:eastAsia="fr-FR"/>
        </w:rPr>
        <w:t xml:space="preserve">le 25 avril 2019 </w:t>
      </w:r>
      <w:r w:rsidR="00C93DE6" w:rsidRPr="006E2F26">
        <w:rPr>
          <w:rFonts w:asciiTheme="minorHAnsi" w:hAnsiTheme="minorHAnsi" w:cstheme="minorHAnsi"/>
          <w:snapToGrid w:val="0"/>
          <w:lang w:eastAsia="fr-FR"/>
        </w:rPr>
        <w:t>à de</w:t>
      </w:r>
      <w:r w:rsidRPr="006E2F26">
        <w:rPr>
          <w:rFonts w:asciiTheme="minorHAnsi" w:hAnsiTheme="minorHAnsi" w:cstheme="minorHAnsi"/>
          <w:snapToGrid w:val="0"/>
          <w:lang w:eastAsia="fr-FR"/>
        </w:rPr>
        <w:t>s</w:t>
      </w:r>
      <w:r w:rsidR="00C93DE6" w:rsidRPr="006E2F26">
        <w:rPr>
          <w:rFonts w:asciiTheme="minorHAnsi" w:hAnsiTheme="minorHAnsi" w:cstheme="minorHAnsi"/>
          <w:snapToGrid w:val="0"/>
          <w:lang w:eastAsia="fr-FR"/>
        </w:rPr>
        <w:t xml:space="preserve"> dirigeants de </w:t>
      </w:r>
      <w:r w:rsidR="00AC7FDA" w:rsidRPr="006E2F26">
        <w:rPr>
          <w:rFonts w:asciiTheme="minorHAnsi" w:hAnsiTheme="minorHAnsi" w:cstheme="minorHAnsi"/>
          <w:snapToGrid w:val="0"/>
          <w:lang w:eastAsia="fr-FR"/>
        </w:rPr>
        <w:t>l</w:t>
      </w:r>
      <w:r w:rsidR="00322265" w:rsidRPr="006E2F26">
        <w:rPr>
          <w:rFonts w:asciiTheme="minorHAnsi" w:hAnsiTheme="minorHAnsi" w:cstheme="minorHAnsi"/>
          <w:snapToGrid w:val="0"/>
          <w:lang w:eastAsia="fr-FR"/>
        </w:rPr>
        <w:t>’A.S.B.L.</w:t>
      </w:r>
      <w:r w:rsidR="00C93DE6" w:rsidRPr="006E2F26">
        <w:rPr>
          <w:rFonts w:asciiTheme="minorHAnsi" w:hAnsiTheme="minorHAnsi" w:cstheme="minorHAnsi"/>
          <w:snapToGrid w:val="0"/>
          <w:lang w:eastAsia="fr-FR"/>
        </w:rPr>
        <w:t xml:space="preserve">, </w:t>
      </w:r>
      <w:r w:rsidR="001A69D5" w:rsidRPr="006E2F26">
        <w:rPr>
          <w:rFonts w:asciiTheme="minorHAnsi" w:hAnsiTheme="minorHAnsi" w:cstheme="minorHAnsi"/>
          <w:snapToGrid w:val="0"/>
          <w:lang w:eastAsia="fr-FR"/>
        </w:rPr>
        <w:t xml:space="preserve">des </w:t>
      </w:r>
      <w:r w:rsidR="00C93DE6" w:rsidRPr="006E2F26">
        <w:rPr>
          <w:rFonts w:asciiTheme="minorHAnsi" w:hAnsiTheme="minorHAnsi" w:cstheme="minorHAnsi"/>
          <w:snapToGrid w:val="0"/>
          <w:lang w:eastAsia="fr-FR"/>
        </w:rPr>
        <w:t>memb</w:t>
      </w:r>
      <w:r w:rsidR="001A69D5" w:rsidRPr="006E2F26">
        <w:rPr>
          <w:rFonts w:asciiTheme="minorHAnsi" w:hAnsiTheme="minorHAnsi" w:cstheme="minorHAnsi"/>
          <w:snapToGrid w:val="0"/>
          <w:lang w:eastAsia="fr-FR"/>
        </w:rPr>
        <w:t xml:space="preserve">res du Conseil d’administration et </w:t>
      </w:r>
      <w:r w:rsidR="00C93DE6" w:rsidRPr="006E2F26">
        <w:rPr>
          <w:rFonts w:asciiTheme="minorHAnsi" w:hAnsiTheme="minorHAnsi" w:cstheme="minorHAnsi"/>
          <w:snapToGrid w:val="0"/>
          <w:lang w:eastAsia="fr-FR"/>
        </w:rPr>
        <w:t>de l</w:t>
      </w:r>
      <w:r w:rsidR="001F1AE7" w:rsidRPr="006E2F26">
        <w:rPr>
          <w:rFonts w:asciiTheme="minorHAnsi" w:hAnsiTheme="minorHAnsi" w:cstheme="minorHAnsi"/>
          <w:snapToGrid w:val="0"/>
          <w:lang w:eastAsia="fr-FR"/>
        </w:rPr>
        <w:t xml:space="preserve">a Cellule sportive, </w:t>
      </w:r>
      <w:r w:rsidR="001A69D5" w:rsidRPr="006E2F26">
        <w:rPr>
          <w:rFonts w:asciiTheme="minorHAnsi" w:hAnsiTheme="minorHAnsi" w:cstheme="minorHAnsi"/>
          <w:snapToGrid w:val="0"/>
          <w:lang w:eastAsia="fr-FR"/>
        </w:rPr>
        <w:t>il fait état</w:t>
      </w:r>
      <w:r w:rsidR="00F23BFC" w:rsidRPr="006E2F26">
        <w:rPr>
          <w:rFonts w:asciiTheme="minorHAnsi" w:hAnsiTheme="minorHAnsi" w:cstheme="minorHAnsi"/>
          <w:snapToGrid w:val="0"/>
          <w:lang w:eastAsia="fr-FR"/>
        </w:rPr>
        <w:t xml:space="preserve"> de « </w:t>
      </w:r>
      <w:r w:rsidR="00F23BFC" w:rsidRPr="006E2F26">
        <w:rPr>
          <w:rFonts w:asciiTheme="minorHAnsi" w:hAnsiTheme="minorHAnsi" w:cstheme="minorHAnsi"/>
          <w:i/>
          <w:snapToGrid w:val="0"/>
          <w:lang w:eastAsia="fr-FR"/>
        </w:rPr>
        <w:t>réflexions sur l’avenir sportif de l’AF </w:t>
      </w:r>
      <w:r w:rsidR="00F23BFC" w:rsidRPr="006E2F26">
        <w:rPr>
          <w:rFonts w:asciiTheme="minorHAnsi" w:hAnsiTheme="minorHAnsi" w:cstheme="minorHAnsi"/>
          <w:snapToGrid w:val="0"/>
          <w:lang w:eastAsia="fr-FR"/>
        </w:rPr>
        <w:t xml:space="preserve">». Il fait également état </w:t>
      </w:r>
      <w:r w:rsidR="001A69D5" w:rsidRPr="006E2F26">
        <w:rPr>
          <w:rFonts w:asciiTheme="minorHAnsi" w:hAnsiTheme="minorHAnsi" w:cstheme="minorHAnsi"/>
          <w:snapToGrid w:val="0"/>
          <w:lang w:eastAsia="fr-FR"/>
        </w:rPr>
        <w:t>de problèmes de communication, de problèmes entre personnes,</w:t>
      </w:r>
      <w:r w:rsidR="00F23BFC" w:rsidRPr="006E2F26">
        <w:rPr>
          <w:rFonts w:asciiTheme="minorHAnsi" w:hAnsiTheme="minorHAnsi" w:cstheme="minorHAnsi"/>
          <w:snapToGrid w:val="0"/>
          <w:lang w:eastAsia="fr-FR"/>
        </w:rPr>
        <w:t xml:space="preserve"> d’ « </w:t>
      </w:r>
      <w:r w:rsidR="00F23BFC" w:rsidRPr="006E2F26">
        <w:rPr>
          <w:rFonts w:asciiTheme="minorHAnsi" w:hAnsiTheme="minorHAnsi" w:cstheme="minorHAnsi"/>
          <w:i/>
          <w:snapToGrid w:val="0"/>
          <w:lang w:eastAsia="fr-FR"/>
        </w:rPr>
        <w:t>opposition qui se cristallise autour de sa personne</w:t>
      </w:r>
      <w:r w:rsidR="00F23BFC" w:rsidRPr="006E2F26">
        <w:rPr>
          <w:rFonts w:asciiTheme="minorHAnsi" w:hAnsiTheme="minorHAnsi" w:cstheme="minorHAnsi"/>
          <w:snapToGrid w:val="0"/>
          <w:lang w:eastAsia="fr-FR"/>
        </w:rPr>
        <w:t> »</w:t>
      </w:r>
      <w:r w:rsidR="001F1AE7" w:rsidRPr="006E2F26">
        <w:rPr>
          <w:rFonts w:asciiTheme="minorHAnsi" w:hAnsiTheme="minorHAnsi" w:cstheme="minorHAnsi"/>
          <w:snapToGrid w:val="0"/>
          <w:lang w:eastAsia="fr-FR"/>
        </w:rPr>
        <w:t>. I</w:t>
      </w:r>
      <w:r w:rsidR="00F23BFC" w:rsidRPr="006E2F26">
        <w:rPr>
          <w:rFonts w:asciiTheme="minorHAnsi" w:hAnsiTheme="minorHAnsi" w:cstheme="minorHAnsi"/>
          <w:snapToGrid w:val="0"/>
          <w:lang w:eastAsia="fr-FR"/>
        </w:rPr>
        <w:t>l dit « </w:t>
      </w:r>
      <w:r w:rsidR="00F23BFC" w:rsidRPr="006E2F26">
        <w:rPr>
          <w:rFonts w:asciiTheme="minorHAnsi" w:hAnsiTheme="minorHAnsi" w:cstheme="minorHAnsi"/>
          <w:i/>
          <w:snapToGrid w:val="0"/>
          <w:lang w:eastAsia="fr-FR"/>
        </w:rPr>
        <w:t>dans un esprit d’ouverture, de communication franche pouvoir discuter et avec ses détracteurs et non détracteurs</w:t>
      </w:r>
      <w:r w:rsidR="00F23BFC" w:rsidRPr="006E2F26">
        <w:rPr>
          <w:rFonts w:asciiTheme="minorHAnsi" w:hAnsiTheme="minorHAnsi" w:cstheme="minorHAnsi"/>
          <w:snapToGrid w:val="0"/>
          <w:lang w:eastAsia="fr-FR"/>
        </w:rPr>
        <w:t> ».</w:t>
      </w:r>
    </w:p>
    <w:p w14:paraId="7E33CE17" w14:textId="77777777" w:rsidR="00955D7D" w:rsidRPr="006E2F26" w:rsidRDefault="00955D7D" w:rsidP="00F23BFC">
      <w:pPr>
        <w:jc w:val="both"/>
        <w:rPr>
          <w:rFonts w:asciiTheme="minorHAnsi" w:hAnsiTheme="minorHAnsi" w:cstheme="minorHAnsi"/>
          <w:snapToGrid w:val="0"/>
          <w:lang w:eastAsia="fr-FR"/>
        </w:rPr>
      </w:pPr>
    </w:p>
    <w:p w14:paraId="24764483" w14:textId="0BC11D5B" w:rsidR="002E32FA" w:rsidRPr="006E2F26" w:rsidRDefault="008C7B4A" w:rsidP="00F23BFC">
      <w:pPr>
        <w:jc w:val="both"/>
        <w:rPr>
          <w:rFonts w:asciiTheme="minorHAnsi" w:hAnsiTheme="minorHAnsi" w:cstheme="minorHAnsi"/>
        </w:rPr>
      </w:pPr>
      <w:r w:rsidRPr="006E2F26">
        <w:rPr>
          <w:rFonts w:asciiTheme="minorHAnsi" w:hAnsiTheme="minorHAnsi" w:cstheme="minorHAnsi"/>
          <w:snapToGrid w:val="0"/>
          <w:lang w:eastAsia="fr-FR"/>
        </w:rPr>
        <w:t>M.</w:t>
      </w:r>
      <w:r w:rsidR="00322265" w:rsidRPr="006E2F26">
        <w:rPr>
          <w:rFonts w:asciiTheme="minorHAnsi" w:hAnsiTheme="minorHAnsi" w:cstheme="minorHAnsi"/>
          <w:snapToGrid w:val="0"/>
          <w:lang w:eastAsia="fr-FR"/>
        </w:rPr>
        <w:t xml:space="preserve"> </w:t>
      </w:r>
      <w:r w:rsidR="00961229">
        <w:rPr>
          <w:rFonts w:asciiTheme="minorHAnsi" w:hAnsiTheme="minorHAnsi" w:cstheme="minorHAnsi"/>
          <w:snapToGrid w:val="0"/>
          <w:lang w:eastAsia="fr-FR"/>
        </w:rPr>
        <w:t>M</w:t>
      </w:r>
      <w:r w:rsidR="0020559C" w:rsidRPr="006E2F26">
        <w:rPr>
          <w:rFonts w:asciiTheme="minorHAnsi" w:hAnsiTheme="minorHAnsi" w:cstheme="minorHAnsi"/>
          <w:snapToGrid w:val="0"/>
          <w:lang w:eastAsia="fr-FR"/>
        </w:rPr>
        <w:t xml:space="preserve"> dépose au contraire des</w:t>
      </w:r>
      <w:r w:rsidR="003C1FD6" w:rsidRPr="006E2F26">
        <w:rPr>
          <w:rFonts w:asciiTheme="minorHAnsi" w:hAnsiTheme="minorHAnsi" w:cstheme="minorHAnsi"/>
          <w:snapToGrid w:val="0"/>
          <w:lang w:eastAsia="fr-FR"/>
        </w:rPr>
        <w:t xml:space="preserve"> messages </w:t>
      </w:r>
      <w:r w:rsidR="0020559C" w:rsidRPr="006E2F26">
        <w:rPr>
          <w:rFonts w:asciiTheme="minorHAnsi" w:hAnsiTheme="minorHAnsi" w:cstheme="minorHAnsi"/>
          <w:snapToGrid w:val="0"/>
          <w:lang w:eastAsia="fr-FR"/>
        </w:rPr>
        <w:t xml:space="preserve">de soutien d’anciens collègues et de nombreux messages </w:t>
      </w:r>
      <w:r w:rsidR="003C1FD6" w:rsidRPr="006E2F26">
        <w:rPr>
          <w:rFonts w:asciiTheme="minorHAnsi" w:hAnsiTheme="minorHAnsi" w:cstheme="minorHAnsi"/>
          <w:snapToGrid w:val="0"/>
          <w:lang w:eastAsia="fr-FR"/>
        </w:rPr>
        <w:t>d</w:t>
      </w:r>
      <w:r w:rsidR="0020559C" w:rsidRPr="006E2F26">
        <w:rPr>
          <w:rFonts w:asciiTheme="minorHAnsi" w:hAnsiTheme="minorHAnsi" w:cstheme="minorHAnsi"/>
          <w:snapToGrid w:val="0"/>
          <w:lang w:eastAsia="fr-FR"/>
        </w:rPr>
        <w:t>e joueurs ainsi que de</w:t>
      </w:r>
      <w:r w:rsidR="003C1FD6" w:rsidRPr="006E2F26">
        <w:rPr>
          <w:rFonts w:asciiTheme="minorHAnsi" w:hAnsiTheme="minorHAnsi" w:cstheme="minorHAnsi"/>
          <w:snapToGrid w:val="0"/>
          <w:lang w:eastAsia="fr-FR"/>
        </w:rPr>
        <w:t xml:space="preserve"> parents</w:t>
      </w:r>
      <w:r w:rsidR="0020559C" w:rsidRPr="006E2F26">
        <w:rPr>
          <w:rFonts w:asciiTheme="minorHAnsi" w:hAnsiTheme="minorHAnsi" w:cstheme="minorHAnsi"/>
          <w:snapToGrid w:val="0"/>
          <w:lang w:eastAsia="fr-FR"/>
        </w:rPr>
        <w:t>,</w:t>
      </w:r>
      <w:r w:rsidR="003C1FD6" w:rsidRPr="006E2F26">
        <w:rPr>
          <w:rFonts w:asciiTheme="minorHAnsi" w:hAnsiTheme="minorHAnsi" w:cstheme="minorHAnsi"/>
          <w:snapToGrid w:val="0"/>
          <w:lang w:eastAsia="fr-FR"/>
        </w:rPr>
        <w:t xml:space="preserve"> reçus après son licenciement.</w:t>
      </w:r>
      <w:r w:rsidR="0020559C" w:rsidRPr="006E2F26">
        <w:rPr>
          <w:rFonts w:asciiTheme="minorHAnsi" w:hAnsiTheme="minorHAnsi" w:cstheme="minorHAnsi"/>
          <w:snapToGrid w:val="0"/>
          <w:lang w:eastAsia="fr-FR"/>
        </w:rPr>
        <w:t xml:space="preserve"> Ils sont tous positifs et le remercient pour son travail.</w:t>
      </w:r>
      <w:r w:rsidR="002E32FA" w:rsidRPr="006E2F26">
        <w:rPr>
          <w:rFonts w:asciiTheme="minorHAnsi" w:hAnsiTheme="minorHAnsi" w:cstheme="minorHAnsi"/>
        </w:rPr>
        <w:t xml:space="preserve"> </w:t>
      </w:r>
    </w:p>
    <w:p w14:paraId="682F2EAD" w14:textId="77777777" w:rsidR="002E32FA" w:rsidRPr="006E2F26" w:rsidRDefault="002E32FA" w:rsidP="00F23BFC">
      <w:pPr>
        <w:jc w:val="both"/>
        <w:rPr>
          <w:rFonts w:asciiTheme="minorHAnsi" w:hAnsiTheme="minorHAnsi" w:cstheme="minorHAnsi"/>
        </w:rPr>
      </w:pPr>
    </w:p>
    <w:p w14:paraId="751EA1EC" w14:textId="06DDC3A1" w:rsidR="00F23BFC" w:rsidRPr="006E2F26" w:rsidRDefault="002E32FA" w:rsidP="00F23BFC">
      <w:pPr>
        <w:jc w:val="both"/>
        <w:rPr>
          <w:rFonts w:asciiTheme="minorHAnsi" w:hAnsiTheme="minorHAnsi" w:cstheme="minorHAnsi"/>
          <w:snapToGrid w:val="0"/>
          <w:lang w:eastAsia="fr-FR"/>
        </w:rPr>
      </w:pPr>
      <w:r w:rsidRPr="006E2F26">
        <w:rPr>
          <w:rFonts w:asciiTheme="minorHAnsi" w:hAnsiTheme="minorHAnsi" w:cstheme="minorHAnsi"/>
          <w:snapToGrid w:val="0"/>
          <w:lang w:eastAsia="fr-FR"/>
        </w:rPr>
        <w:t xml:space="preserve">Un des parents, </w:t>
      </w:r>
      <w:r w:rsidR="008C7B4A" w:rsidRPr="006E2F26">
        <w:rPr>
          <w:rFonts w:asciiTheme="minorHAnsi" w:hAnsiTheme="minorHAnsi" w:cstheme="minorHAnsi"/>
          <w:snapToGrid w:val="0"/>
          <w:lang w:eastAsia="fr-FR"/>
        </w:rPr>
        <w:t>M.</w:t>
      </w:r>
      <w:r w:rsidRPr="006E2F26">
        <w:rPr>
          <w:rFonts w:asciiTheme="minorHAnsi" w:hAnsiTheme="minorHAnsi" w:cstheme="minorHAnsi"/>
          <w:snapToGrid w:val="0"/>
          <w:lang w:eastAsia="fr-FR"/>
        </w:rPr>
        <w:t xml:space="preserve"> </w:t>
      </w:r>
      <w:r w:rsidR="00961229">
        <w:rPr>
          <w:rFonts w:asciiTheme="minorHAnsi" w:hAnsiTheme="minorHAnsi" w:cstheme="minorHAnsi"/>
          <w:snapToGrid w:val="0"/>
          <w:lang w:eastAsia="fr-FR"/>
        </w:rPr>
        <w:t>R</w:t>
      </w:r>
      <w:r w:rsidRPr="006E2F26">
        <w:rPr>
          <w:rFonts w:asciiTheme="minorHAnsi" w:hAnsiTheme="minorHAnsi" w:cstheme="minorHAnsi"/>
          <w:snapToGrid w:val="0"/>
          <w:lang w:eastAsia="fr-FR"/>
        </w:rPr>
        <w:t xml:space="preserve">, dont </w:t>
      </w:r>
      <w:r w:rsidR="00A7761F">
        <w:rPr>
          <w:rFonts w:asciiTheme="minorHAnsi" w:hAnsiTheme="minorHAnsi" w:cstheme="minorHAnsi"/>
          <w:snapToGrid w:val="0"/>
          <w:lang w:eastAsia="fr-FR"/>
        </w:rPr>
        <w:t>l</w:t>
      </w:r>
      <w:r w:rsidR="00322265" w:rsidRPr="006E2F26">
        <w:rPr>
          <w:rFonts w:asciiTheme="minorHAnsi" w:hAnsiTheme="minorHAnsi" w:cstheme="minorHAnsi"/>
          <w:snapToGrid w:val="0"/>
          <w:lang w:eastAsia="fr-FR"/>
        </w:rPr>
        <w:t>’A.S.B.L.</w:t>
      </w:r>
      <w:r w:rsidRPr="006E2F26">
        <w:rPr>
          <w:rFonts w:asciiTheme="minorHAnsi" w:hAnsiTheme="minorHAnsi" w:cstheme="minorHAnsi"/>
          <w:snapToGrid w:val="0"/>
          <w:lang w:eastAsia="fr-FR"/>
        </w:rPr>
        <w:t xml:space="preserve"> dépose le courriel car il évoque des problèmes de communication avec </w:t>
      </w:r>
      <w:r w:rsidR="008C7B4A" w:rsidRPr="006E2F26">
        <w:rPr>
          <w:rFonts w:asciiTheme="minorHAnsi" w:hAnsiTheme="minorHAnsi" w:cstheme="minorHAnsi"/>
          <w:snapToGrid w:val="0"/>
          <w:lang w:eastAsia="fr-FR"/>
        </w:rPr>
        <w:t>M.</w:t>
      </w:r>
      <w:r w:rsidR="00322265" w:rsidRPr="006E2F26">
        <w:rPr>
          <w:rFonts w:asciiTheme="minorHAnsi" w:hAnsiTheme="minorHAnsi" w:cstheme="minorHAnsi"/>
          <w:snapToGrid w:val="0"/>
          <w:lang w:eastAsia="fr-FR"/>
        </w:rPr>
        <w:t xml:space="preserve"> </w:t>
      </w:r>
      <w:r w:rsidR="00961229">
        <w:rPr>
          <w:rFonts w:asciiTheme="minorHAnsi" w:hAnsiTheme="minorHAnsi" w:cstheme="minorHAnsi"/>
          <w:snapToGrid w:val="0"/>
          <w:lang w:eastAsia="fr-FR"/>
        </w:rPr>
        <w:t>M</w:t>
      </w:r>
      <w:r w:rsidRPr="006E2F26">
        <w:rPr>
          <w:rFonts w:asciiTheme="minorHAnsi" w:hAnsiTheme="minorHAnsi" w:cstheme="minorHAnsi"/>
          <w:snapToGrid w:val="0"/>
          <w:lang w:eastAsia="fr-FR"/>
        </w:rPr>
        <w:t xml:space="preserve">, écrit également à </w:t>
      </w:r>
      <w:r w:rsidR="008C7B4A" w:rsidRPr="006E2F26">
        <w:rPr>
          <w:rFonts w:asciiTheme="minorHAnsi" w:hAnsiTheme="minorHAnsi" w:cstheme="minorHAnsi"/>
          <w:snapToGrid w:val="0"/>
          <w:lang w:eastAsia="fr-FR"/>
        </w:rPr>
        <w:t>M.</w:t>
      </w:r>
      <w:r w:rsidR="00322265" w:rsidRPr="006E2F26">
        <w:rPr>
          <w:rFonts w:asciiTheme="minorHAnsi" w:hAnsiTheme="minorHAnsi" w:cstheme="minorHAnsi"/>
          <w:snapToGrid w:val="0"/>
          <w:lang w:eastAsia="fr-FR"/>
        </w:rPr>
        <w:t xml:space="preserve"> </w:t>
      </w:r>
      <w:r w:rsidR="00961229">
        <w:rPr>
          <w:rFonts w:asciiTheme="minorHAnsi" w:hAnsiTheme="minorHAnsi" w:cstheme="minorHAnsi"/>
          <w:snapToGrid w:val="0"/>
          <w:lang w:eastAsia="fr-FR"/>
        </w:rPr>
        <w:t>M</w:t>
      </w:r>
      <w:r w:rsidRPr="006E2F26">
        <w:rPr>
          <w:rFonts w:asciiTheme="minorHAnsi" w:hAnsiTheme="minorHAnsi" w:cstheme="minorHAnsi"/>
          <w:snapToGrid w:val="0"/>
          <w:lang w:eastAsia="fr-FR"/>
        </w:rPr>
        <w:t xml:space="preserve"> en date du 14 août 2020 pour le remercier malgré les problèmes de communication qui ont pu exister entre eux.</w:t>
      </w:r>
    </w:p>
    <w:p w14:paraId="3336DD56" w14:textId="77777777" w:rsidR="00162337" w:rsidRPr="006E2F26" w:rsidRDefault="00162337" w:rsidP="00F23BFC">
      <w:pPr>
        <w:jc w:val="both"/>
        <w:rPr>
          <w:rFonts w:asciiTheme="minorHAnsi" w:hAnsiTheme="minorHAnsi" w:cstheme="minorHAnsi"/>
          <w:snapToGrid w:val="0"/>
          <w:lang w:eastAsia="fr-FR"/>
        </w:rPr>
      </w:pPr>
    </w:p>
    <w:p w14:paraId="5AD5F6CB" w14:textId="0C33347D" w:rsidR="00162337" w:rsidRPr="006E2F26" w:rsidRDefault="00162337" w:rsidP="00F23BFC">
      <w:pPr>
        <w:jc w:val="both"/>
        <w:rPr>
          <w:rFonts w:asciiTheme="minorHAnsi" w:hAnsiTheme="minorHAnsi" w:cstheme="minorHAnsi"/>
          <w:snapToGrid w:val="0"/>
          <w:lang w:eastAsia="fr-FR"/>
        </w:rPr>
      </w:pPr>
      <w:r w:rsidRPr="006E2F26">
        <w:rPr>
          <w:rFonts w:asciiTheme="minorHAnsi" w:hAnsiTheme="minorHAnsi" w:cstheme="minorHAnsi"/>
          <w:snapToGrid w:val="0"/>
          <w:lang w:eastAsia="fr-FR"/>
        </w:rPr>
        <w:t xml:space="preserve">Le Tribunal constate qu’il existait vraisemblablement des difficultés relationnelles au sein de </w:t>
      </w:r>
      <w:r w:rsidR="000B4794" w:rsidRPr="006E2F26">
        <w:rPr>
          <w:rFonts w:asciiTheme="minorHAnsi" w:hAnsiTheme="minorHAnsi" w:cstheme="minorHAnsi"/>
          <w:snapToGrid w:val="0"/>
          <w:lang w:eastAsia="fr-FR"/>
        </w:rPr>
        <w:t>l’</w:t>
      </w:r>
      <w:r w:rsidR="00322265" w:rsidRPr="006E2F26">
        <w:rPr>
          <w:rFonts w:asciiTheme="minorHAnsi" w:hAnsiTheme="minorHAnsi" w:cstheme="minorHAnsi"/>
          <w:snapToGrid w:val="0"/>
          <w:lang w:eastAsia="fr-FR"/>
        </w:rPr>
        <w:t>A.S.B.L.</w:t>
      </w:r>
      <w:r w:rsidRPr="006E2F26">
        <w:rPr>
          <w:rFonts w:asciiTheme="minorHAnsi" w:hAnsiTheme="minorHAnsi" w:cstheme="minorHAnsi"/>
          <w:snapToGrid w:val="0"/>
          <w:lang w:eastAsia="fr-FR"/>
        </w:rPr>
        <w:t xml:space="preserve"> Tout</w:t>
      </w:r>
      <w:r w:rsidR="00F05918" w:rsidRPr="006E2F26">
        <w:rPr>
          <w:rFonts w:asciiTheme="minorHAnsi" w:hAnsiTheme="minorHAnsi" w:cstheme="minorHAnsi"/>
          <w:snapToGrid w:val="0"/>
          <w:lang w:eastAsia="fr-FR"/>
        </w:rPr>
        <w:t>efois, c</w:t>
      </w:r>
      <w:r w:rsidRPr="006E2F26">
        <w:rPr>
          <w:rFonts w:asciiTheme="minorHAnsi" w:hAnsiTheme="minorHAnsi" w:cstheme="minorHAnsi"/>
          <w:snapToGrid w:val="0"/>
          <w:lang w:eastAsia="fr-FR"/>
        </w:rPr>
        <w:t>elle</w:t>
      </w:r>
      <w:r w:rsidR="00A7761F">
        <w:rPr>
          <w:rFonts w:asciiTheme="minorHAnsi" w:hAnsiTheme="minorHAnsi" w:cstheme="minorHAnsi"/>
          <w:snapToGrid w:val="0"/>
          <w:lang w:eastAsia="fr-FR"/>
        </w:rPr>
        <w:t>s</w:t>
      </w:r>
      <w:r w:rsidRPr="006E2F26">
        <w:rPr>
          <w:rFonts w:asciiTheme="minorHAnsi" w:hAnsiTheme="minorHAnsi" w:cstheme="minorHAnsi"/>
          <w:snapToGrid w:val="0"/>
          <w:lang w:eastAsia="fr-FR"/>
        </w:rPr>
        <w:t>-ci ne démontre</w:t>
      </w:r>
      <w:r w:rsidR="00A7761F">
        <w:rPr>
          <w:rFonts w:asciiTheme="minorHAnsi" w:hAnsiTheme="minorHAnsi" w:cstheme="minorHAnsi"/>
          <w:snapToGrid w:val="0"/>
          <w:lang w:eastAsia="fr-FR"/>
        </w:rPr>
        <w:t>nt</w:t>
      </w:r>
      <w:r w:rsidRPr="006E2F26">
        <w:rPr>
          <w:rFonts w:asciiTheme="minorHAnsi" w:hAnsiTheme="minorHAnsi" w:cstheme="minorHAnsi"/>
          <w:snapToGrid w:val="0"/>
          <w:lang w:eastAsia="fr-FR"/>
        </w:rPr>
        <w:t xml:space="preserve"> pas qu’elles ne visaient que </w:t>
      </w:r>
      <w:r w:rsidR="008C7B4A" w:rsidRPr="006E2F26">
        <w:rPr>
          <w:rFonts w:asciiTheme="minorHAnsi" w:hAnsiTheme="minorHAnsi" w:cstheme="minorHAnsi"/>
          <w:snapToGrid w:val="0"/>
          <w:lang w:eastAsia="fr-FR"/>
        </w:rPr>
        <w:t>M.</w:t>
      </w:r>
      <w:r w:rsidR="00322265" w:rsidRPr="006E2F26">
        <w:rPr>
          <w:rFonts w:asciiTheme="minorHAnsi" w:hAnsiTheme="minorHAnsi" w:cstheme="minorHAnsi"/>
          <w:snapToGrid w:val="0"/>
          <w:lang w:eastAsia="fr-FR"/>
        </w:rPr>
        <w:t xml:space="preserve"> </w:t>
      </w:r>
      <w:r w:rsidR="00961229">
        <w:rPr>
          <w:rFonts w:asciiTheme="minorHAnsi" w:hAnsiTheme="minorHAnsi" w:cstheme="minorHAnsi"/>
          <w:snapToGrid w:val="0"/>
          <w:lang w:eastAsia="fr-FR"/>
        </w:rPr>
        <w:t>M</w:t>
      </w:r>
      <w:r w:rsidRPr="006E2F26">
        <w:rPr>
          <w:rFonts w:asciiTheme="minorHAnsi" w:hAnsiTheme="minorHAnsi" w:cstheme="minorHAnsi"/>
          <w:snapToGrid w:val="0"/>
          <w:lang w:eastAsia="fr-FR"/>
        </w:rPr>
        <w:t xml:space="preserve"> puisque plusieurs reproches émis dans les attestations visent non seulement </w:t>
      </w:r>
      <w:r w:rsidR="008C7B4A" w:rsidRPr="006E2F26">
        <w:rPr>
          <w:rFonts w:asciiTheme="minorHAnsi" w:hAnsiTheme="minorHAnsi" w:cstheme="minorHAnsi"/>
          <w:snapToGrid w:val="0"/>
          <w:lang w:eastAsia="fr-FR"/>
        </w:rPr>
        <w:t>M.</w:t>
      </w:r>
      <w:r w:rsidR="00322265" w:rsidRPr="006E2F26">
        <w:rPr>
          <w:rFonts w:asciiTheme="minorHAnsi" w:hAnsiTheme="minorHAnsi" w:cstheme="minorHAnsi"/>
          <w:snapToGrid w:val="0"/>
          <w:lang w:eastAsia="fr-FR"/>
        </w:rPr>
        <w:t xml:space="preserve"> </w:t>
      </w:r>
      <w:r w:rsidR="00961229">
        <w:rPr>
          <w:rFonts w:asciiTheme="minorHAnsi" w:hAnsiTheme="minorHAnsi" w:cstheme="minorHAnsi"/>
          <w:snapToGrid w:val="0"/>
          <w:lang w:eastAsia="fr-FR"/>
        </w:rPr>
        <w:t>M</w:t>
      </w:r>
      <w:r w:rsidRPr="006E2F26">
        <w:rPr>
          <w:rFonts w:asciiTheme="minorHAnsi" w:hAnsiTheme="minorHAnsi" w:cstheme="minorHAnsi"/>
          <w:snapToGrid w:val="0"/>
          <w:lang w:eastAsia="fr-FR"/>
        </w:rPr>
        <w:t xml:space="preserve"> mais aussi d’autres personnes. En outre, la plupart des problèmes soulevés mentionnent des problèmes dans le cadre de sélections, de choix sportifs ou autres.</w:t>
      </w:r>
    </w:p>
    <w:p w14:paraId="5D69BFAF" w14:textId="77777777" w:rsidR="003648B9" w:rsidRPr="006E2F26" w:rsidRDefault="003648B9" w:rsidP="00F23BFC">
      <w:pPr>
        <w:jc w:val="both"/>
        <w:rPr>
          <w:rFonts w:asciiTheme="minorHAnsi" w:hAnsiTheme="minorHAnsi" w:cstheme="minorHAnsi"/>
          <w:snapToGrid w:val="0"/>
          <w:lang w:eastAsia="fr-FR"/>
        </w:rPr>
      </w:pPr>
    </w:p>
    <w:p w14:paraId="3CEB72AB" w14:textId="4F2F0CFF" w:rsidR="00162337" w:rsidRPr="006E2F26" w:rsidRDefault="003648B9" w:rsidP="00F23BFC">
      <w:pPr>
        <w:jc w:val="both"/>
        <w:rPr>
          <w:rFonts w:asciiTheme="minorHAnsi" w:hAnsiTheme="minorHAnsi" w:cstheme="minorHAnsi"/>
          <w:snapToGrid w:val="0"/>
          <w:lang w:eastAsia="fr-FR"/>
        </w:rPr>
      </w:pPr>
      <w:r w:rsidRPr="006E2F26">
        <w:rPr>
          <w:rFonts w:asciiTheme="minorHAnsi" w:hAnsiTheme="minorHAnsi" w:cstheme="minorHAnsi"/>
          <w:snapToGrid w:val="0"/>
          <w:lang w:eastAsia="fr-FR"/>
        </w:rPr>
        <w:t xml:space="preserve">Aucun élément ne permet de </w:t>
      </w:r>
      <w:r w:rsidR="00156FAA" w:rsidRPr="006E2F26">
        <w:rPr>
          <w:rFonts w:asciiTheme="minorHAnsi" w:hAnsiTheme="minorHAnsi" w:cstheme="minorHAnsi"/>
          <w:snapToGrid w:val="0"/>
          <w:lang w:eastAsia="fr-FR"/>
        </w:rPr>
        <w:t>prouver</w:t>
      </w:r>
      <w:r w:rsidRPr="006E2F26">
        <w:rPr>
          <w:rFonts w:asciiTheme="minorHAnsi" w:hAnsiTheme="minorHAnsi" w:cstheme="minorHAnsi"/>
          <w:snapToGrid w:val="0"/>
          <w:lang w:eastAsia="fr-FR"/>
        </w:rPr>
        <w:t xml:space="preserve"> que </w:t>
      </w:r>
      <w:r w:rsidR="008C7B4A" w:rsidRPr="006E2F26">
        <w:rPr>
          <w:rFonts w:asciiTheme="minorHAnsi" w:hAnsiTheme="minorHAnsi" w:cstheme="minorHAnsi"/>
          <w:snapToGrid w:val="0"/>
          <w:lang w:eastAsia="fr-FR"/>
        </w:rPr>
        <w:t>M.</w:t>
      </w:r>
      <w:r w:rsidR="00322265" w:rsidRPr="006E2F26">
        <w:rPr>
          <w:rFonts w:asciiTheme="minorHAnsi" w:hAnsiTheme="minorHAnsi" w:cstheme="minorHAnsi"/>
          <w:snapToGrid w:val="0"/>
          <w:lang w:eastAsia="fr-FR"/>
        </w:rPr>
        <w:t xml:space="preserve"> </w:t>
      </w:r>
      <w:r w:rsidR="00961229">
        <w:rPr>
          <w:rFonts w:asciiTheme="minorHAnsi" w:hAnsiTheme="minorHAnsi" w:cstheme="minorHAnsi"/>
          <w:snapToGrid w:val="0"/>
          <w:lang w:eastAsia="fr-FR"/>
        </w:rPr>
        <w:t>M</w:t>
      </w:r>
      <w:r w:rsidRPr="006E2F26">
        <w:rPr>
          <w:rFonts w:asciiTheme="minorHAnsi" w:hAnsiTheme="minorHAnsi" w:cstheme="minorHAnsi"/>
          <w:snapToGrid w:val="0"/>
          <w:lang w:eastAsia="fr-FR"/>
        </w:rPr>
        <w:t xml:space="preserve"> avait une attitude qualifiée de harcèlement moral par </w:t>
      </w:r>
      <w:r w:rsidR="00974EDD" w:rsidRPr="006E2F26">
        <w:rPr>
          <w:rFonts w:asciiTheme="minorHAnsi" w:hAnsiTheme="minorHAnsi" w:cstheme="minorHAnsi"/>
          <w:snapToGrid w:val="0"/>
          <w:lang w:eastAsia="fr-FR"/>
        </w:rPr>
        <w:t>l</w:t>
      </w:r>
      <w:r w:rsidR="00322265" w:rsidRPr="006E2F26">
        <w:rPr>
          <w:rFonts w:asciiTheme="minorHAnsi" w:hAnsiTheme="minorHAnsi" w:cstheme="minorHAnsi"/>
          <w:snapToGrid w:val="0"/>
          <w:lang w:eastAsia="fr-FR"/>
        </w:rPr>
        <w:t>’A.S.B.L.</w:t>
      </w:r>
      <w:r w:rsidRPr="006E2F26">
        <w:rPr>
          <w:rFonts w:asciiTheme="minorHAnsi" w:hAnsiTheme="minorHAnsi" w:cstheme="minorHAnsi"/>
          <w:snapToGrid w:val="0"/>
          <w:lang w:eastAsia="fr-FR"/>
        </w:rPr>
        <w:t xml:space="preserve"> à l’égard d’entraîneurs ou de joueurs. Sans autre témoignage ou éléments probants, le Tribunal estime que la réalité des motifs n’est pas </w:t>
      </w:r>
      <w:r w:rsidR="00156FAA" w:rsidRPr="006E2F26">
        <w:rPr>
          <w:rFonts w:asciiTheme="minorHAnsi" w:hAnsiTheme="minorHAnsi" w:cstheme="minorHAnsi"/>
          <w:snapToGrid w:val="0"/>
          <w:lang w:eastAsia="fr-FR"/>
        </w:rPr>
        <w:t>démontrée</w:t>
      </w:r>
      <w:r w:rsidRPr="006E2F26">
        <w:rPr>
          <w:rFonts w:asciiTheme="minorHAnsi" w:hAnsiTheme="minorHAnsi" w:cstheme="minorHAnsi"/>
          <w:snapToGrid w:val="0"/>
          <w:lang w:eastAsia="fr-FR"/>
        </w:rPr>
        <w:t>.</w:t>
      </w:r>
    </w:p>
    <w:p w14:paraId="2F9AD8A6" w14:textId="77777777" w:rsidR="00574467" w:rsidRPr="006E2F26" w:rsidRDefault="00574467" w:rsidP="00F23BFC">
      <w:pPr>
        <w:jc w:val="both"/>
        <w:rPr>
          <w:rFonts w:asciiTheme="minorHAnsi" w:hAnsiTheme="minorHAnsi" w:cstheme="minorHAnsi"/>
          <w:snapToGrid w:val="0"/>
          <w:lang w:eastAsia="fr-FR"/>
        </w:rPr>
      </w:pPr>
    </w:p>
    <w:p w14:paraId="62761991" w14:textId="77777777" w:rsidR="00574467" w:rsidRPr="006E2F26" w:rsidRDefault="00322265" w:rsidP="00F23BFC">
      <w:pPr>
        <w:jc w:val="both"/>
        <w:rPr>
          <w:rFonts w:asciiTheme="minorHAnsi" w:hAnsiTheme="minorHAnsi" w:cstheme="minorHAnsi"/>
          <w:snapToGrid w:val="0"/>
          <w:lang w:eastAsia="fr-FR"/>
        </w:rPr>
      </w:pPr>
      <w:r w:rsidRPr="006E2F26">
        <w:rPr>
          <w:rFonts w:asciiTheme="minorHAnsi" w:hAnsiTheme="minorHAnsi" w:cstheme="minorHAnsi"/>
          <w:snapToGrid w:val="0"/>
          <w:lang w:eastAsia="fr-FR"/>
        </w:rPr>
        <w:t>L’A.S.B.L.</w:t>
      </w:r>
      <w:r w:rsidR="00574467" w:rsidRPr="006E2F26">
        <w:rPr>
          <w:rFonts w:asciiTheme="minorHAnsi" w:hAnsiTheme="minorHAnsi" w:cstheme="minorHAnsi"/>
          <w:snapToGrid w:val="0"/>
          <w:lang w:eastAsia="fr-FR"/>
        </w:rPr>
        <w:t xml:space="preserve"> n’apporte dès lors pas non plus la preuve du fait que les motifs </w:t>
      </w:r>
      <w:r w:rsidR="000B4794" w:rsidRPr="006E2F26">
        <w:rPr>
          <w:rFonts w:asciiTheme="minorHAnsi" w:hAnsiTheme="minorHAnsi" w:cstheme="minorHAnsi"/>
          <w:snapToGrid w:val="0"/>
          <w:lang w:eastAsia="fr-FR"/>
        </w:rPr>
        <w:t>du licenciement</w:t>
      </w:r>
      <w:r w:rsidR="00574467" w:rsidRPr="006E2F26">
        <w:rPr>
          <w:rFonts w:asciiTheme="minorHAnsi" w:hAnsiTheme="minorHAnsi" w:cstheme="minorHAnsi"/>
          <w:snapToGrid w:val="0"/>
          <w:lang w:eastAsia="fr-FR"/>
        </w:rPr>
        <w:t xml:space="preserve"> </w:t>
      </w:r>
      <w:r w:rsidR="00156FAA" w:rsidRPr="006E2F26">
        <w:rPr>
          <w:rFonts w:asciiTheme="minorHAnsi" w:hAnsiTheme="minorHAnsi" w:cstheme="minorHAnsi"/>
          <w:snapToGrid w:val="0"/>
          <w:lang w:eastAsia="fr-FR"/>
        </w:rPr>
        <w:t>s</w:t>
      </w:r>
      <w:r w:rsidR="00574467" w:rsidRPr="006E2F26">
        <w:rPr>
          <w:rFonts w:asciiTheme="minorHAnsi" w:hAnsiTheme="minorHAnsi" w:cstheme="minorHAnsi"/>
          <w:snapToGrid w:val="0"/>
          <w:lang w:eastAsia="fr-FR"/>
        </w:rPr>
        <w:t>ont en lien avec l’aptitude ou la conduite du travailleur ou sont fondés sur les nécessités du fonctionnement de l’entreprise.</w:t>
      </w:r>
    </w:p>
    <w:p w14:paraId="67BFB188" w14:textId="77777777" w:rsidR="00574467" w:rsidRPr="006E2F26" w:rsidRDefault="00574467" w:rsidP="00F23BFC">
      <w:pPr>
        <w:jc w:val="both"/>
        <w:rPr>
          <w:rFonts w:asciiTheme="minorHAnsi" w:hAnsiTheme="minorHAnsi" w:cstheme="minorHAnsi"/>
          <w:snapToGrid w:val="0"/>
          <w:lang w:eastAsia="fr-FR"/>
        </w:rPr>
      </w:pPr>
    </w:p>
    <w:p w14:paraId="400A90CA" w14:textId="77777777" w:rsidR="009738F0" w:rsidRPr="006E2F26" w:rsidRDefault="00475D26" w:rsidP="0085449C">
      <w:pPr>
        <w:jc w:val="both"/>
        <w:rPr>
          <w:rFonts w:asciiTheme="minorHAnsi" w:hAnsiTheme="minorHAnsi" w:cstheme="minorHAnsi"/>
          <w:snapToGrid w:val="0"/>
          <w:lang w:eastAsia="fr-FR"/>
        </w:rPr>
      </w:pPr>
      <w:r w:rsidRPr="006E2F26">
        <w:rPr>
          <w:rFonts w:asciiTheme="minorHAnsi" w:hAnsiTheme="minorHAnsi" w:cstheme="minorHAnsi"/>
          <w:snapToGrid w:val="0"/>
          <w:lang w:eastAsia="fr-FR"/>
        </w:rPr>
        <w:t xml:space="preserve">Le licenciement n’est dès lors </w:t>
      </w:r>
      <w:r w:rsidR="000B0EB3" w:rsidRPr="006E2F26">
        <w:rPr>
          <w:rFonts w:asciiTheme="minorHAnsi" w:hAnsiTheme="minorHAnsi" w:cstheme="minorHAnsi"/>
          <w:snapToGrid w:val="0"/>
          <w:lang w:eastAsia="fr-FR"/>
        </w:rPr>
        <w:t>pas valable. En outre</w:t>
      </w:r>
      <w:r w:rsidR="00C923CE" w:rsidRPr="006E2F26">
        <w:rPr>
          <w:rFonts w:asciiTheme="minorHAnsi" w:hAnsiTheme="minorHAnsi" w:cstheme="minorHAnsi"/>
          <w:snapToGrid w:val="0"/>
          <w:lang w:eastAsia="fr-FR"/>
        </w:rPr>
        <w:t xml:space="preserve">, le Tribunal estime que </w:t>
      </w:r>
      <w:r w:rsidR="00BB1559">
        <w:rPr>
          <w:rFonts w:asciiTheme="minorHAnsi" w:hAnsiTheme="minorHAnsi" w:cstheme="minorHAnsi"/>
          <w:snapToGrid w:val="0"/>
          <w:lang w:eastAsia="fr-FR"/>
        </w:rPr>
        <w:t>l</w:t>
      </w:r>
      <w:r w:rsidR="00322265" w:rsidRPr="006E2F26">
        <w:rPr>
          <w:rFonts w:asciiTheme="minorHAnsi" w:hAnsiTheme="minorHAnsi" w:cstheme="minorHAnsi"/>
          <w:snapToGrid w:val="0"/>
          <w:lang w:eastAsia="fr-FR"/>
        </w:rPr>
        <w:t>’A.S.B.L.</w:t>
      </w:r>
      <w:r w:rsidR="00C923CE" w:rsidRPr="006E2F26">
        <w:rPr>
          <w:rFonts w:asciiTheme="minorHAnsi" w:hAnsiTheme="minorHAnsi" w:cstheme="minorHAnsi"/>
          <w:snapToGrid w:val="0"/>
          <w:lang w:eastAsia="fr-FR"/>
        </w:rPr>
        <w:t xml:space="preserve"> </w:t>
      </w:r>
      <w:r w:rsidRPr="006E2F26">
        <w:rPr>
          <w:rFonts w:asciiTheme="minorHAnsi" w:hAnsiTheme="minorHAnsi" w:cstheme="minorHAnsi"/>
          <w:snapToGrid w:val="0"/>
          <w:lang w:eastAsia="fr-FR"/>
        </w:rPr>
        <w:t xml:space="preserve">ne s’est pas comportée comme un employeur normal et raisonnable </w:t>
      </w:r>
      <w:r w:rsidR="006601C8" w:rsidRPr="006E2F26">
        <w:rPr>
          <w:rFonts w:asciiTheme="minorHAnsi" w:hAnsiTheme="minorHAnsi" w:cstheme="minorHAnsi"/>
          <w:snapToGrid w:val="0"/>
          <w:lang w:eastAsia="fr-FR"/>
        </w:rPr>
        <w:t xml:space="preserve">se serait comporté </w:t>
      </w:r>
      <w:r w:rsidRPr="006E2F26">
        <w:rPr>
          <w:rFonts w:asciiTheme="minorHAnsi" w:hAnsiTheme="minorHAnsi" w:cstheme="minorHAnsi"/>
          <w:snapToGrid w:val="0"/>
          <w:lang w:eastAsia="fr-FR"/>
        </w:rPr>
        <w:t xml:space="preserve">dans la même situation. </w:t>
      </w:r>
      <w:r w:rsidR="000B0EB3" w:rsidRPr="006E2F26">
        <w:rPr>
          <w:rFonts w:asciiTheme="minorHAnsi" w:hAnsiTheme="minorHAnsi" w:cstheme="minorHAnsi"/>
          <w:snapToGrid w:val="0"/>
          <w:lang w:eastAsia="fr-FR"/>
        </w:rPr>
        <w:t xml:space="preserve"> </w:t>
      </w:r>
      <w:r w:rsidRPr="006E2F26">
        <w:rPr>
          <w:rFonts w:asciiTheme="minorHAnsi" w:hAnsiTheme="minorHAnsi" w:cstheme="minorHAnsi"/>
          <w:snapToGrid w:val="0"/>
          <w:lang w:eastAsia="fr-FR"/>
        </w:rPr>
        <w:t>Le licenciement est bien manifestement déraisonnable.</w:t>
      </w:r>
    </w:p>
    <w:p w14:paraId="70615BD0" w14:textId="77777777" w:rsidR="000B0EB3" w:rsidRPr="006E2F26" w:rsidRDefault="000B0EB3" w:rsidP="0085449C">
      <w:pPr>
        <w:jc w:val="both"/>
        <w:rPr>
          <w:rFonts w:asciiTheme="minorHAnsi" w:hAnsiTheme="minorHAnsi" w:cstheme="minorHAnsi"/>
          <w:snapToGrid w:val="0"/>
          <w:lang w:eastAsia="fr-FR"/>
        </w:rPr>
      </w:pPr>
    </w:p>
    <w:p w14:paraId="620C30DF" w14:textId="77777777" w:rsidR="00B67AA7" w:rsidRDefault="00B67AA7" w:rsidP="0085449C">
      <w:pPr>
        <w:jc w:val="both"/>
        <w:rPr>
          <w:rFonts w:asciiTheme="minorHAnsi" w:hAnsiTheme="minorHAnsi" w:cstheme="minorHAnsi"/>
          <w:snapToGrid w:val="0"/>
          <w:lang w:eastAsia="fr-FR"/>
        </w:rPr>
      </w:pPr>
    </w:p>
    <w:p w14:paraId="08BBD406" w14:textId="6D5C900A" w:rsidR="000B0EB3" w:rsidRPr="006E2F26" w:rsidRDefault="00A03B58" w:rsidP="0085449C">
      <w:pPr>
        <w:jc w:val="both"/>
        <w:rPr>
          <w:rFonts w:asciiTheme="minorHAnsi" w:hAnsiTheme="minorHAnsi" w:cstheme="minorHAnsi"/>
          <w:snapToGrid w:val="0"/>
          <w:lang w:eastAsia="fr-FR"/>
        </w:rPr>
      </w:pPr>
      <w:r w:rsidRPr="006E2F26">
        <w:rPr>
          <w:rFonts w:asciiTheme="minorHAnsi" w:hAnsiTheme="minorHAnsi" w:cstheme="minorHAnsi"/>
          <w:snapToGrid w:val="0"/>
          <w:lang w:eastAsia="fr-FR"/>
        </w:rPr>
        <w:t xml:space="preserve">En ce qui concerne la durée de l’indemnité due à </w:t>
      </w:r>
      <w:r w:rsidR="008C7B4A" w:rsidRPr="006E2F26">
        <w:rPr>
          <w:rFonts w:asciiTheme="minorHAnsi" w:hAnsiTheme="minorHAnsi" w:cstheme="minorHAnsi"/>
          <w:snapToGrid w:val="0"/>
          <w:lang w:eastAsia="fr-FR"/>
        </w:rPr>
        <w:t>M.</w:t>
      </w:r>
      <w:r w:rsidR="00322265" w:rsidRPr="006E2F26">
        <w:rPr>
          <w:rFonts w:asciiTheme="minorHAnsi" w:hAnsiTheme="minorHAnsi" w:cstheme="minorHAnsi"/>
          <w:snapToGrid w:val="0"/>
          <w:lang w:eastAsia="fr-FR"/>
        </w:rPr>
        <w:t xml:space="preserve"> </w:t>
      </w:r>
      <w:r w:rsidR="00961229">
        <w:rPr>
          <w:rFonts w:asciiTheme="minorHAnsi" w:hAnsiTheme="minorHAnsi" w:cstheme="minorHAnsi"/>
          <w:snapToGrid w:val="0"/>
          <w:lang w:eastAsia="fr-FR"/>
        </w:rPr>
        <w:t>M</w:t>
      </w:r>
      <w:r w:rsidRPr="006E2F26">
        <w:rPr>
          <w:rFonts w:asciiTheme="minorHAnsi" w:hAnsiTheme="minorHAnsi" w:cstheme="minorHAnsi"/>
          <w:snapToGrid w:val="0"/>
          <w:lang w:eastAsia="fr-FR"/>
        </w:rPr>
        <w:t xml:space="preserve">, étant donné l’absence de preuve certaine des motifs allégués de la part de </w:t>
      </w:r>
      <w:r w:rsidR="003D7B3B" w:rsidRPr="006E2F26">
        <w:rPr>
          <w:rFonts w:asciiTheme="minorHAnsi" w:hAnsiTheme="minorHAnsi" w:cstheme="minorHAnsi"/>
          <w:snapToGrid w:val="0"/>
          <w:lang w:eastAsia="fr-FR"/>
        </w:rPr>
        <w:t>l</w:t>
      </w:r>
      <w:r w:rsidR="00322265" w:rsidRPr="006E2F26">
        <w:rPr>
          <w:rFonts w:asciiTheme="minorHAnsi" w:hAnsiTheme="minorHAnsi" w:cstheme="minorHAnsi"/>
          <w:snapToGrid w:val="0"/>
          <w:lang w:eastAsia="fr-FR"/>
        </w:rPr>
        <w:t>’A.S.B.L.</w:t>
      </w:r>
      <w:r w:rsidRPr="006E2F26">
        <w:rPr>
          <w:rFonts w:asciiTheme="minorHAnsi" w:hAnsiTheme="minorHAnsi" w:cstheme="minorHAnsi"/>
          <w:snapToGrid w:val="0"/>
          <w:lang w:eastAsia="fr-FR"/>
        </w:rPr>
        <w:t xml:space="preserve">, elle est évaluée à </w:t>
      </w:r>
      <w:r w:rsidR="00156FAA" w:rsidRPr="006E2F26">
        <w:rPr>
          <w:rFonts w:asciiTheme="minorHAnsi" w:hAnsiTheme="minorHAnsi" w:cstheme="minorHAnsi"/>
          <w:snapToGrid w:val="0"/>
          <w:lang w:eastAsia="fr-FR"/>
        </w:rPr>
        <w:t>cinq</w:t>
      </w:r>
      <w:r w:rsidRPr="006E2F26">
        <w:rPr>
          <w:rFonts w:asciiTheme="minorHAnsi" w:hAnsiTheme="minorHAnsi" w:cstheme="minorHAnsi"/>
          <w:snapToGrid w:val="0"/>
          <w:lang w:eastAsia="fr-FR"/>
        </w:rPr>
        <w:t xml:space="preserve"> semaines de rémunération, soit au montant de </w:t>
      </w:r>
      <w:r w:rsidR="00156FAA" w:rsidRPr="006E2F26">
        <w:rPr>
          <w:rFonts w:asciiTheme="minorHAnsi" w:hAnsiTheme="minorHAnsi" w:cstheme="minorHAnsi"/>
          <w:snapToGrid w:val="0"/>
          <w:lang w:eastAsia="fr-FR"/>
        </w:rPr>
        <w:t xml:space="preserve">5.548,75 </w:t>
      </w:r>
      <w:r w:rsidRPr="006E2F26">
        <w:rPr>
          <w:rFonts w:asciiTheme="minorHAnsi" w:hAnsiTheme="minorHAnsi" w:cstheme="minorHAnsi"/>
          <w:snapToGrid w:val="0"/>
          <w:lang w:eastAsia="fr-FR"/>
        </w:rPr>
        <w:t xml:space="preserve">€ bruts (conformément au montant non contesté de 18.865,75 € bruts réclamé pour 17 semaines de rémunération calculer au prorata de </w:t>
      </w:r>
      <w:r w:rsidR="00BB1559" w:rsidRPr="00BB1559">
        <w:rPr>
          <w:rFonts w:asciiTheme="minorHAnsi" w:hAnsiTheme="minorHAnsi" w:cstheme="minorHAnsi"/>
          <w:snapToGrid w:val="0"/>
          <w:lang w:eastAsia="fr-FR"/>
        </w:rPr>
        <w:t xml:space="preserve">cinq </w:t>
      </w:r>
      <w:r w:rsidRPr="006E2F26">
        <w:rPr>
          <w:rFonts w:asciiTheme="minorHAnsi" w:hAnsiTheme="minorHAnsi" w:cstheme="minorHAnsi"/>
          <w:snapToGrid w:val="0"/>
          <w:lang w:eastAsia="fr-FR"/>
        </w:rPr>
        <w:t xml:space="preserve">semaines).  </w:t>
      </w:r>
    </w:p>
    <w:p w14:paraId="28C1AB12" w14:textId="77777777" w:rsidR="00475D26" w:rsidRPr="006E2F26" w:rsidRDefault="00475D26" w:rsidP="0085449C">
      <w:pPr>
        <w:jc w:val="both"/>
        <w:rPr>
          <w:rFonts w:asciiTheme="minorHAnsi" w:hAnsiTheme="minorHAnsi" w:cstheme="minorHAnsi"/>
          <w:snapToGrid w:val="0"/>
          <w:lang w:eastAsia="fr-FR"/>
        </w:rPr>
      </w:pPr>
    </w:p>
    <w:p w14:paraId="28CC908E" w14:textId="77777777" w:rsidR="00DB749D" w:rsidRPr="006E2F26" w:rsidRDefault="00DB749D" w:rsidP="0060061B">
      <w:pPr>
        <w:pStyle w:val="Textebrut"/>
        <w:numPr>
          <w:ilvl w:val="1"/>
          <w:numId w:val="8"/>
        </w:numPr>
        <w:tabs>
          <w:tab w:val="left" w:pos="1843"/>
        </w:tabs>
        <w:jc w:val="both"/>
        <w:rPr>
          <w:rFonts w:asciiTheme="minorHAnsi" w:hAnsiTheme="minorHAnsi" w:cstheme="minorHAnsi"/>
          <w:b/>
          <w:sz w:val="24"/>
          <w:szCs w:val="24"/>
          <w:u w:val="single"/>
          <w:lang w:val="fr-FR"/>
        </w:rPr>
      </w:pPr>
      <w:r w:rsidRPr="006E2F26">
        <w:rPr>
          <w:rFonts w:asciiTheme="minorHAnsi" w:hAnsiTheme="minorHAnsi" w:cstheme="minorHAnsi"/>
          <w:b/>
          <w:sz w:val="24"/>
          <w:szCs w:val="24"/>
          <w:u w:val="single"/>
          <w:lang w:val="fr-FR"/>
        </w:rPr>
        <w:t>Délivrance et la rectification des documents sociaux</w:t>
      </w:r>
    </w:p>
    <w:p w14:paraId="4AD26835" w14:textId="77777777" w:rsidR="00DE119F" w:rsidRPr="006E2F26" w:rsidRDefault="00DE119F" w:rsidP="00340823">
      <w:pPr>
        <w:pStyle w:val="Textebrut"/>
        <w:tabs>
          <w:tab w:val="left" w:pos="1843"/>
        </w:tabs>
        <w:jc w:val="both"/>
        <w:rPr>
          <w:rFonts w:asciiTheme="minorHAnsi" w:hAnsiTheme="minorHAnsi" w:cstheme="minorHAnsi"/>
          <w:sz w:val="24"/>
          <w:szCs w:val="24"/>
          <w:lang w:val="fr-FR"/>
        </w:rPr>
      </w:pPr>
    </w:p>
    <w:p w14:paraId="04F4A42E" w14:textId="3A8D1363" w:rsidR="00DE119F" w:rsidRPr="006E2F26" w:rsidRDefault="008C7B4A" w:rsidP="0034082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M.</w:t>
      </w:r>
      <w:r w:rsidR="00322265" w:rsidRPr="006E2F26">
        <w:rPr>
          <w:rFonts w:asciiTheme="minorHAnsi" w:hAnsiTheme="minorHAnsi" w:cstheme="minorHAnsi"/>
          <w:sz w:val="24"/>
          <w:szCs w:val="24"/>
          <w:lang w:val="fr-FR"/>
        </w:rPr>
        <w:t xml:space="preserve"> </w:t>
      </w:r>
      <w:r w:rsidR="00961229">
        <w:rPr>
          <w:rFonts w:asciiTheme="minorHAnsi" w:hAnsiTheme="minorHAnsi" w:cstheme="minorHAnsi"/>
          <w:sz w:val="24"/>
          <w:szCs w:val="24"/>
          <w:lang w:val="fr-FR"/>
        </w:rPr>
        <w:t>M</w:t>
      </w:r>
      <w:r w:rsidR="00426138" w:rsidRPr="006E2F26">
        <w:rPr>
          <w:rFonts w:asciiTheme="minorHAnsi" w:hAnsiTheme="minorHAnsi" w:cstheme="minorHAnsi"/>
          <w:sz w:val="24"/>
          <w:szCs w:val="24"/>
          <w:lang w:val="fr-FR"/>
        </w:rPr>
        <w:t xml:space="preserve"> sollicite la délivrance d’un formulaire C4 rectifié à l’issue de la procédure judiciaire.</w:t>
      </w:r>
    </w:p>
    <w:p w14:paraId="384B33E8" w14:textId="77777777" w:rsidR="00426138" w:rsidRPr="006E2F26" w:rsidRDefault="00426138" w:rsidP="00340823">
      <w:pPr>
        <w:pStyle w:val="Textebrut"/>
        <w:tabs>
          <w:tab w:val="left" w:pos="1843"/>
        </w:tabs>
        <w:jc w:val="both"/>
        <w:rPr>
          <w:rFonts w:asciiTheme="minorHAnsi" w:hAnsiTheme="minorHAnsi" w:cstheme="minorHAnsi"/>
          <w:sz w:val="24"/>
          <w:szCs w:val="24"/>
          <w:lang w:val="fr-FR"/>
        </w:rPr>
      </w:pPr>
    </w:p>
    <w:p w14:paraId="381311CA" w14:textId="77777777" w:rsidR="00A479E6" w:rsidRPr="006E2F26" w:rsidRDefault="00A479E6" w:rsidP="00A479E6">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Il ressort </w:t>
      </w:r>
      <w:r w:rsidR="00492DB5" w:rsidRPr="006E2F26">
        <w:rPr>
          <w:rFonts w:asciiTheme="minorHAnsi" w:hAnsiTheme="minorHAnsi" w:cstheme="minorHAnsi"/>
          <w:sz w:val="24"/>
          <w:szCs w:val="24"/>
          <w:lang w:val="fr-FR"/>
        </w:rPr>
        <w:t xml:space="preserve">notamment </w:t>
      </w:r>
      <w:r w:rsidRPr="006E2F26">
        <w:rPr>
          <w:rFonts w:asciiTheme="minorHAnsi" w:hAnsiTheme="minorHAnsi" w:cstheme="minorHAnsi"/>
          <w:sz w:val="24"/>
          <w:szCs w:val="24"/>
          <w:lang w:val="fr-FR"/>
        </w:rPr>
        <w:t xml:space="preserve">de ce qui précède qu’une indemnité compensatoire de préavis complémentaire est due par rapport à ce qui était mentionné dans le formulaire C4 délivré par </w:t>
      </w:r>
      <w:r w:rsidR="00322265" w:rsidRPr="006E2F26">
        <w:rPr>
          <w:rFonts w:asciiTheme="minorHAnsi" w:hAnsiTheme="minorHAnsi" w:cstheme="minorHAnsi"/>
          <w:sz w:val="24"/>
          <w:szCs w:val="24"/>
          <w:lang w:val="fr-FR"/>
        </w:rPr>
        <w:t>L’A.S.B.L.</w:t>
      </w:r>
    </w:p>
    <w:p w14:paraId="4E9E494D" w14:textId="77777777" w:rsidR="00A479E6" w:rsidRPr="006E2F26" w:rsidRDefault="00A479E6" w:rsidP="00A479E6">
      <w:pPr>
        <w:pStyle w:val="Textebrut"/>
        <w:tabs>
          <w:tab w:val="left" w:pos="1843"/>
        </w:tabs>
        <w:jc w:val="both"/>
        <w:rPr>
          <w:rFonts w:asciiTheme="minorHAnsi" w:hAnsiTheme="minorHAnsi" w:cstheme="minorHAnsi"/>
          <w:sz w:val="24"/>
          <w:szCs w:val="24"/>
          <w:lang w:val="fr-FR"/>
        </w:rPr>
      </w:pPr>
    </w:p>
    <w:p w14:paraId="296EDD6D" w14:textId="77777777" w:rsidR="00B67AA7" w:rsidRDefault="00B67AA7" w:rsidP="00B67AA7">
      <w:pPr>
        <w:jc w:val="both"/>
        <w:rPr>
          <w:rFonts w:ascii="Calibri" w:hAnsi="Calibri" w:cs="Calibri"/>
        </w:rPr>
      </w:pPr>
      <w:r>
        <w:rPr>
          <w:rFonts w:ascii="Calibri" w:hAnsi="Calibri" w:cs="Calibri"/>
        </w:rPr>
        <w:t>Il n’appartient toutefois pas au Tribunal d’enjoindre l’employeur à modifier le document C4</w:t>
      </w:r>
      <w:r>
        <w:rPr>
          <w:rStyle w:val="Appelnotedebasdep"/>
          <w:rFonts w:ascii="Calibri" w:hAnsi="Calibri" w:cs="Calibri"/>
        </w:rPr>
        <w:footnoteReference w:id="35"/>
      </w:r>
      <w:r>
        <w:rPr>
          <w:rFonts w:ascii="Calibri" w:hAnsi="Calibri" w:cs="Calibri"/>
        </w:rPr>
        <w:t>. C’est donc au travailleur à faire état des erreurs ou jugements intervenus</w:t>
      </w:r>
      <w:r w:rsidRPr="001E6577">
        <w:rPr>
          <w:rFonts w:ascii="Calibri" w:hAnsi="Calibri" w:cs="Calibri"/>
        </w:rPr>
        <w:t xml:space="preserve"> </w:t>
      </w:r>
      <w:r>
        <w:rPr>
          <w:rFonts w:ascii="Calibri" w:hAnsi="Calibri" w:cs="Calibri"/>
        </w:rPr>
        <w:t>auprès des services de l’</w:t>
      </w:r>
      <w:proofErr w:type="spellStart"/>
      <w:r>
        <w:rPr>
          <w:rFonts w:ascii="Calibri" w:hAnsi="Calibri" w:cs="Calibri"/>
        </w:rPr>
        <w:t>Onem</w:t>
      </w:r>
      <w:proofErr w:type="spellEnd"/>
      <w:r>
        <w:rPr>
          <w:rFonts w:ascii="Calibri" w:hAnsi="Calibri" w:cs="Calibri"/>
        </w:rPr>
        <w:t>.</w:t>
      </w:r>
    </w:p>
    <w:p w14:paraId="1D3158E5" w14:textId="77777777" w:rsidR="00A479E6" w:rsidRPr="00B67AA7" w:rsidRDefault="00A479E6" w:rsidP="00A479E6">
      <w:pPr>
        <w:pStyle w:val="Textebrut"/>
        <w:tabs>
          <w:tab w:val="left" w:pos="1843"/>
        </w:tabs>
        <w:jc w:val="both"/>
        <w:rPr>
          <w:rFonts w:asciiTheme="minorHAnsi" w:hAnsiTheme="minorHAnsi" w:cstheme="minorHAnsi"/>
          <w:sz w:val="24"/>
          <w:szCs w:val="24"/>
        </w:rPr>
      </w:pPr>
    </w:p>
    <w:p w14:paraId="092C08CF" w14:textId="77777777" w:rsidR="00DB749D" w:rsidRPr="006E2F26" w:rsidRDefault="00DB749D" w:rsidP="0060061B">
      <w:pPr>
        <w:pStyle w:val="Textebrut"/>
        <w:numPr>
          <w:ilvl w:val="1"/>
          <w:numId w:val="8"/>
        </w:numPr>
        <w:tabs>
          <w:tab w:val="left" w:pos="1843"/>
        </w:tabs>
        <w:jc w:val="both"/>
        <w:rPr>
          <w:rFonts w:asciiTheme="minorHAnsi" w:hAnsiTheme="minorHAnsi" w:cstheme="minorHAnsi"/>
          <w:b/>
          <w:sz w:val="24"/>
          <w:szCs w:val="24"/>
          <w:u w:val="single"/>
          <w:lang w:val="fr-FR"/>
        </w:rPr>
      </w:pPr>
      <w:r w:rsidRPr="006E2F26">
        <w:rPr>
          <w:rFonts w:asciiTheme="minorHAnsi" w:hAnsiTheme="minorHAnsi" w:cstheme="minorHAnsi"/>
          <w:b/>
          <w:sz w:val="24"/>
          <w:szCs w:val="24"/>
          <w:u w:val="single"/>
          <w:lang w:val="fr-FR"/>
        </w:rPr>
        <w:t>Dépens</w:t>
      </w:r>
    </w:p>
    <w:p w14:paraId="795AA8D7" w14:textId="77777777" w:rsidR="00A479E6" w:rsidRPr="006E2F26" w:rsidRDefault="00A479E6" w:rsidP="007D355F">
      <w:pPr>
        <w:pStyle w:val="Textebrut"/>
        <w:tabs>
          <w:tab w:val="left" w:pos="1843"/>
        </w:tabs>
        <w:jc w:val="both"/>
        <w:rPr>
          <w:rFonts w:asciiTheme="minorHAnsi" w:hAnsiTheme="minorHAnsi" w:cstheme="minorHAnsi"/>
          <w:sz w:val="24"/>
          <w:szCs w:val="24"/>
          <w:lang w:val="fr-FR"/>
        </w:rPr>
      </w:pPr>
    </w:p>
    <w:p w14:paraId="260C306D" w14:textId="5AA66989" w:rsidR="007D355F" w:rsidRPr="006E2F26" w:rsidRDefault="00382D87" w:rsidP="00ED2DD3">
      <w:pPr>
        <w:pStyle w:val="Textebrut"/>
        <w:tabs>
          <w:tab w:val="left" w:pos="1843"/>
        </w:tabs>
        <w:jc w:val="both"/>
        <w:rPr>
          <w:rFonts w:asciiTheme="minorHAnsi" w:hAnsiTheme="minorHAnsi" w:cstheme="minorHAnsi"/>
          <w:sz w:val="24"/>
          <w:szCs w:val="24"/>
          <w:lang w:val="fr-FR"/>
        </w:rPr>
      </w:pPr>
      <w:r w:rsidRPr="006E2F26">
        <w:rPr>
          <w:rFonts w:asciiTheme="minorHAnsi" w:hAnsiTheme="minorHAnsi" w:cstheme="minorHAnsi"/>
          <w:sz w:val="24"/>
          <w:szCs w:val="24"/>
          <w:lang w:val="fr-FR"/>
        </w:rPr>
        <w:t xml:space="preserve">Les demandes de </w:t>
      </w:r>
      <w:r w:rsidR="008C7B4A" w:rsidRPr="006E2F26">
        <w:rPr>
          <w:rFonts w:asciiTheme="minorHAnsi" w:hAnsiTheme="minorHAnsi" w:cstheme="minorHAnsi"/>
          <w:sz w:val="24"/>
          <w:szCs w:val="24"/>
          <w:lang w:val="fr-FR"/>
        </w:rPr>
        <w:t>M.</w:t>
      </w:r>
      <w:r w:rsidR="00322265" w:rsidRPr="006E2F26">
        <w:rPr>
          <w:rFonts w:asciiTheme="minorHAnsi" w:hAnsiTheme="minorHAnsi" w:cstheme="minorHAnsi"/>
          <w:sz w:val="24"/>
          <w:szCs w:val="24"/>
          <w:lang w:val="fr-FR"/>
        </w:rPr>
        <w:t xml:space="preserve"> </w:t>
      </w:r>
      <w:r w:rsidR="00961229">
        <w:rPr>
          <w:rFonts w:asciiTheme="minorHAnsi" w:hAnsiTheme="minorHAnsi" w:cstheme="minorHAnsi"/>
          <w:sz w:val="24"/>
          <w:szCs w:val="24"/>
          <w:lang w:val="fr-FR"/>
        </w:rPr>
        <w:t>M</w:t>
      </w:r>
      <w:r w:rsidRPr="006E2F26">
        <w:rPr>
          <w:rFonts w:asciiTheme="minorHAnsi" w:hAnsiTheme="minorHAnsi" w:cstheme="minorHAnsi"/>
          <w:sz w:val="24"/>
          <w:szCs w:val="24"/>
          <w:lang w:val="fr-FR"/>
        </w:rPr>
        <w:t xml:space="preserve"> étant en grande partie fondée, il y a lieu de condamner </w:t>
      </w:r>
      <w:r w:rsidR="00322265" w:rsidRPr="006E2F26">
        <w:rPr>
          <w:rFonts w:asciiTheme="minorHAnsi" w:hAnsiTheme="minorHAnsi" w:cstheme="minorHAnsi"/>
          <w:sz w:val="24"/>
          <w:szCs w:val="24"/>
          <w:lang w:val="fr-FR"/>
        </w:rPr>
        <w:t>L’A.S.B.L.</w:t>
      </w:r>
      <w:r w:rsidRPr="006E2F26">
        <w:rPr>
          <w:rFonts w:asciiTheme="minorHAnsi" w:hAnsiTheme="minorHAnsi" w:cstheme="minorHAnsi"/>
          <w:sz w:val="24"/>
          <w:szCs w:val="24"/>
          <w:lang w:val="fr-FR"/>
        </w:rPr>
        <w:t xml:space="preserve"> aux dépens, </w:t>
      </w:r>
      <w:r w:rsidR="00ED2DD3" w:rsidRPr="006E2F26">
        <w:rPr>
          <w:rFonts w:asciiTheme="minorHAnsi" w:hAnsiTheme="minorHAnsi" w:cstheme="minorHAnsi"/>
          <w:sz w:val="24"/>
          <w:szCs w:val="24"/>
          <w:lang w:val="fr-FR"/>
        </w:rPr>
        <w:t>soit 20 € de contribution au fonds d'aide juridique de deuxième ligne et 3</w:t>
      </w:r>
      <w:r w:rsidR="00382C09">
        <w:rPr>
          <w:rFonts w:asciiTheme="minorHAnsi" w:hAnsiTheme="minorHAnsi" w:cstheme="minorHAnsi"/>
          <w:sz w:val="24"/>
          <w:szCs w:val="24"/>
          <w:lang w:val="fr-FR"/>
        </w:rPr>
        <w:t>.900 € d'indemnité de procédure</w:t>
      </w:r>
      <w:r w:rsidR="00ED2DD3" w:rsidRPr="006E2F26">
        <w:rPr>
          <w:rFonts w:asciiTheme="minorHAnsi" w:hAnsiTheme="minorHAnsi" w:cstheme="minorHAnsi"/>
          <w:sz w:val="24"/>
          <w:szCs w:val="24"/>
          <w:lang w:val="fr-FR"/>
        </w:rPr>
        <w:t xml:space="preserve"> </w:t>
      </w:r>
      <w:r w:rsidR="00382C09">
        <w:rPr>
          <w:rFonts w:asciiTheme="minorHAnsi" w:hAnsiTheme="minorHAnsi" w:cstheme="minorHAnsi"/>
          <w:sz w:val="24"/>
          <w:szCs w:val="24"/>
          <w:lang w:val="fr-FR"/>
        </w:rPr>
        <w:t>(montant initialement réclamé</w:t>
      </w:r>
      <w:r w:rsidRPr="006E2F26">
        <w:rPr>
          <w:rFonts w:asciiTheme="minorHAnsi" w:hAnsiTheme="minorHAnsi" w:cstheme="minorHAnsi"/>
          <w:sz w:val="24"/>
          <w:szCs w:val="24"/>
          <w:lang w:val="fr-FR"/>
        </w:rPr>
        <w:t xml:space="preserve"> par chacune des parties, le litige concernant des demandes qui se situent entre 60.000,01 € et 100.000,01 € </w:t>
      </w:r>
      <w:r w:rsidR="00ED2DD3" w:rsidRPr="006E2F26">
        <w:rPr>
          <w:rFonts w:asciiTheme="minorHAnsi" w:hAnsiTheme="minorHAnsi" w:cstheme="minorHAnsi"/>
          <w:sz w:val="24"/>
          <w:szCs w:val="24"/>
          <w:lang w:val="fr-FR"/>
        </w:rPr>
        <w:t xml:space="preserve">et </w:t>
      </w:r>
      <w:r w:rsidRPr="006E2F26">
        <w:rPr>
          <w:rFonts w:asciiTheme="minorHAnsi" w:hAnsiTheme="minorHAnsi" w:cstheme="minorHAnsi"/>
          <w:sz w:val="24"/>
          <w:szCs w:val="24"/>
          <w:lang w:val="fr-FR"/>
        </w:rPr>
        <w:t>conformément à l’</w:t>
      </w:r>
      <w:r w:rsidR="00ED2DD3" w:rsidRPr="006E2F26">
        <w:rPr>
          <w:rFonts w:asciiTheme="minorHAnsi" w:hAnsiTheme="minorHAnsi" w:cstheme="minorHAnsi"/>
          <w:sz w:val="24"/>
          <w:szCs w:val="24"/>
          <w:lang w:val="fr-FR"/>
        </w:rPr>
        <w:t>article 1022 du Code judiciaire</w:t>
      </w:r>
      <w:r w:rsidR="00382C09">
        <w:rPr>
          <w:rFonts w:asciiTheme="minorHAnsi" w:hAnsiTheme="minorHAnsi" w:cstheme="minorHAnsi"/>
          <w:sz w:val="24"/>
          <w:szCs w:val="24"/>
          <w:lang w:val="fr-FR"/>
        </w:rPr>
        <w:t>)</w:t>
      </w:r>
      <w:r w:rsidR="00ED2DD3" w:rsidRPr="006E2F26">
        <w:rPr>
          <w:rFonts w:asciiTheme="minorHAnsi" w:hAnsiTheme="minorHAnsi" w:cstheme="minorHAnsi"/>
          <w:sz w:val="24"/>
          <w:szCs w:val="24"/>
          <w:lang w:val="fr-FR"/>
        </w:rPr>
        <w:t>.</w:t>
      </w:r>
    </w:p>
    <w:p w14:paraId="3CAA83DD" w14:textId="77777777" w:rsidR="000A488D" w:rsidRDefault="000A488D" w:rsidP="00340823">
      <w:pPr>
        <w:pStyle w:val="Textebrut"/>
        <w:tabs>
          <w:tab w:val="left" w:pos="1843"/>
        </w:tabs>
        <w:jc w:val="both"/>
        <w:rPr>
          <w:rFonts w:asciiTheme="minorHAnsi" w:hAnsiTheme="minorHAnsi" w:cstheme="minorHAnsi"/>
          <w:sz w:val="24"/>
          <w:szCs w:val="24"/>
        </w:rPr>
      </w:pPr>
    </w:p>
    <w:p w14:paraId="74918CF3" w14:textId="77777777" w:rsidR="00B460B8" w:rsidRPr="006E2F26" w:rsidRDefault="00B460B8" w:rsidP="00340823">
      <w:pPr>
        <w:pStyle w:val="Textebrut"/>
        <w:tabs>
          <w:tab w:val="left" w:pos="1843"/>
        </w:tabs>
        <w:jc w:val="both"/>
        <w:rPr>
          <w:rFonts w:asciiTheme="minorHAnsi" w:hAnsiTheme="minorHAnsi" w:cstheme="minorHAnsi"/>
          <w:sz w:val="24"/>
          <w:szCs w:val="24"/>
        </w:rPr>
      </w:pPr>
    </w:p>
    <w:p w14:paraId="0ED9340D" w14:textId="77777777" w:rsidR="000A488D" w:rsidRPr="006E2F26" w:rsidRDefault="00877B44" w:rsidP="0060061B">
      <w:pPr>
        <w:pStyle w:val="Paragraphedeliste"/>
        <w:numPr>
          <w:ilvl w:val="0"/>
          <w:numId w:val="8"/>
        </w:numPr>
        <w:jc w:val="both"/>
        <w:rPr>
          <w:rFonts w:asciiTheme="minorHAnsi" w:hAnsiTheme="minorHAnsi" w:cstheme="minorHAnsi"/>
          <w:b/>
          <w:snapToGrid w:val="0"/>
          <w:u w:val="single"/>
          <w:lang w:eastAsia="fr-FR"/>
        </w:rPr>
      </w:pPr>
      <w:r w:rsidRPr="006E2F26">
        <w:rPr>
          <w:rFonts w:asciiTheme="minorHAnsi" w:hAnsiTheme="minorHAnsi" w:cstheme="minorHAnsi"/>
          <w:b/>
          <w:snapToGrid w:val="0"/>
          <w:u w:val="single"/>
          <w:lang w:eastAsia="fr-FR"/>
        </w:rPr>
        <w:t>DECISION DU TRIBUNAL</w:t>
      </w:r>
    </w:p>
    <w:p w14:paraId="3DAE8E3F" w14:textId="77777777" w:rsidR="000A488D" w:rsidRPr="006E2F26" w:rsidRDefault="000A488D" w:rsidP="00340823">
      <w:pPr>
        <w:jc w:val="both"/>
        <w:rPr>
          <w:rFonts w:asciiTheme="minorHAnsi" w:hAnsiTheme="minorHAnsi" w:cstheme="minorHAnsi"/>
          <w:snapToGrid w:val="0"/>
          <w:lang w:eastAsia="fr-FR"/>
        </w:rPr>
      </w:pPr>
    </w:p>
    <w:p w14:paraId="6C93D137" w14:textId="77777777" w:rsidR="00BD1EE0" w:rsidRPr="006E2F26" w:rsidRDefault="00BD1EE0" w:rsidP="00BD1EE0">
      <w:pPr>
        <w:jc w:val="both"/>
        <w:rPr>
          <w:rFonts w:asciiTheme="minorHAnsi" w:hAnsiTheme="minorHAnsi" w:cstheme="minorHAnsi"/>
          <w:snapToGrid w:val="0"/>
          <w:lang w:eastAsia="fr-FR"/>
        </w:rPr>
      </w:pPr>
      <w:r w:rsidRPr="006E2F26">
        <w:rPr>
          <w:rFonts w:asciiTheme="minorHAnsi" w:hAnsiTheme="minorHAnsi" w:cstheme="minorHAnsi"/>
          <w:b/>
          <w:snapToGrid w:val="0"/>
          <w:lang w:eastAsia="fr-FR"/>
        </w:rPr>
        <w:t xml:space="preserve">Le Tribunal, </w:t>
      </w:r>
      <w:r w:rsidRPr="006E2F26">
        <w:rPr>
          <w:rFonts w:asciiTheme="minorHAnsi" w:hAnsiTheme="minorHAnsi" w:cstheme="minorHAnsi"/>
          <w:snapToGrid w:val="0"/>
          <w:lang w:eastAsia="fr-FR"/>
        </w:rPr>
        <w:t xml:space="preserve">statuant publiquement et contradictoirement, </w:t>
      </w:r>
    </w:p>
    <w:p w14:paraId="7DCE0C02" w14:textId="77777777" w:rsidR="00BD1EE0" w:rsidRPr="006E2F26" w:rsidRDefault="00BD1EE0" w:rsidP="00BD1EE0">
      <w:pPr>
        <w:jc w:val="both"/>
        <w:rPr>
          <w:rFonts w:asciiTheme="minorHAnsi" w:hAnsiTheme="minorHAnsi" w:cstheme="minorHAnsi"/>
          <w:b/>
          <w:snapToGrid w:val="0"/>
          <w:lang w:eastAsia="fr-FR"/>
        </w:rPr>
      </w:pPr>
    </w:p>
    <w:p w14:paraId="64AFB19E" w14:textId="77777777" w:rsidR="00BD1EE0" w:rsidRPr="006E2F26" w:rsidRDefault="00BD1EE0" w:rsidP="00F94513">
      <w:pPr>
        <w:jc w:val="both"/>
        <w:rPr>
          <w:rFonts w:asciiTheme="minorHAnsi" w:hAnsiTheme="minorHAnsi" w:cstheme="minorHAnsi"/>
        </w:rPr>
      </w:pPr>
      <w:r w:rsidRPr="006E2F26">
        <w:rPr>
          <w:rFonts w:asciiTheme="minorHAnsi" w:hAnsiTheme="minorHAnsi" w:cstheme="minorHAnsi"/>
          <w:b/>
        </w:rPr>
        <w:t xml:space="preserve">DIT </w:t>
      </w:r>
      <w:r w:rsidRPr="006E2F26">
        <w:rPr>
          <w:rFonts w:asciiTheme="minorHAnsi" w:hAnsiTheme="minorHAnsi" w:cstheme="minorHAnsi"/>
        </w:rPr>
        <w:t>la demande recevable </w:t>
      </w:r>
      <w:r w:rsidR="00F94513" w:rsidRPr="006E2F26">
        <w:rPr>
          <w:rFonts w:asciiTheme="minorHAnsi" w:hAnsiTheme="minorHAnsi" w:cstheme="minorHAnsi"/>
        </w:rPr>
        <w:t xml:space="preserve">et en grande partie </w:t>
      </w:r>
      <w:r w:rsidRPr="006E2F26">
        <w:rPr>
          <w:rFonts w:asciiTheme="minorHAnsi" w:hAnsiTheme="minorHAnsi" w:cstheme="minorHAnsi"/>
        </w:rPr>
        <w:t>fondée</w:t>
      </w:r>
      <w:r w:rsidR="00F94513" w:rsidRPr="006E2F26">
        <w:rPr>
          <w:rFonts w:asciiTheme="minorHAnsi" w:hAnsiTheme="minorHAnsi" w:cstheme="minorHAnsi"/>
        </w:rPr>
        <w:t xml:space="preserve"> dans la mesure qui suit,</w:t>
      </w:r>
    </w:p>
    <w:p w14:paraId="433DF535" w14:textId="77777777" w:rsidR="00BD1EE0" w:rsidRPr="006E2F26" w:rsidRDefault="00BD1EE0" w:rsidP="00BD1EE0">
      <w:pPr>
        <w:jc w:val="both"/>
        <w:rPr>
          <w:rFonts w:asciiTheme="minorHAnsi" w:eastAsia="Symbol" w:hAnsiTheme="minorHAnsi" w:cstheme="minorHAnsi"/>
          <w:color w:val="000000"/>
          <w:lang w:val="fr-FR"/>
        </w:rPr>
      </w:pPr>
    </w:p>
    <w:p w14:paraId="3AF4C0EE" w14:textId="77777777" w:rsidR="000A488D" w:rsidRDefault="00BD1EE0" w:rsidP="00F94513">
      <w:pPr>
        <w:jc w:val="both"/>
        <w:rPr>
          <w:rFonts w:asciiTheme="minorHAnsi" w:hAnsiTheme="minorHAnsi" w:cstheme="minorHAnsi"/>
          <w:lang w:val="fr-FR"/>
        </w:rPr>
      </w:pPr>
      <w:r w:rsidRPr="006E2F26">
        <w:rPr>
          <w:rFonts w:asciiTheme="minorHAnsi" w:hAnsiTheme="minorHAnsi" w:cstheme="minorHAnsi"/>
          <w:b/>
        </w:rPr>
        <w:t>CONDAMNE</w:t>
      </w:r>
      <w:r w:rsidRPr="006E2F26">
        <w:rPr>
          <w:rFonts w:asciiTheme="minorHAnsi" w:hAnsiTheme="minorHAnsi" w:cstheme="minorHAnsi"/>
        </w:rPr>
        <w:t xml:space="preserve"> l</w:t>
      </w:r>
      <w:r w:rsidRPr="006E2F26">
        <w:rPr>
          <w:rFonts w:asciiTheme="minorHAnsi" w:hAnsiTheme="minorHAnsi" w:cstheme="minorHAnsi"/>
          <w:lang w:val="fr-FR"/>
        </w:rPr>
        <w:t xml:space="preserve">’A.S.B.L. </w:t>
      </w:r>
      <w:r w:rsidR="004575D4" w:rsidRPr="006E2F26">
        <w:rPr>
          <w:rFonts w:asciiTheme="minorHAnsi" w:hAnsiTheme="minorHAnsi" w:cstheme="minorHAnsi"/>
          <w:lang w:val="fr-FR"/>
        </w:rPr>
        <w:t xml:space="preserve">AILE FRANCOPHONE DE LA FEDERATION ROYALE BELGE DE TENNIS DE TABLES </w:t>
      </w:r>
      <w:r w:rsidRPr="006E2F26">
        <w:rPr>
          <w:rFonts w:asciiTheme="minorHAnsi" w:hAnsiTheme="minorHAnsi" w:cstheme="minorHAnsi"/>
          <w:lang w:val="fr-FR"/>
        </w:rPr>
        <w:t>au paie</w:t>
      </w:r>
      <w:r w:rsidR="000228B4">
        <w:rPr>
          <w:rFonts w:asciiTheme="minorHAnsi" w:hAnsiTheme="minorHAnsi" w:cstheme="minorHAnsi"/>
          <w:lang w:val="fr-FR"/>
        </w:rPr>
        <w:t>ment d’un montant de 21.787,18 Euros</w:t>
      </w:r>
      <w:r w:rsidRPr="006E2F26">
        <w:rPr>
          <w:rFonts w:asciiTheme="minorHAnsi" w:hAnsiTheme="minorHAnsi" w:cstheme="minorHAnsi"/>
          <w:lang w:val="fr-FR"/>
        </w:rPr>
        <w:t xml:space="preserve"> bruts à titre d’indemnité compensatoire de préavis complémentaire de 3 mois et 6 semaines ;</w:t>
      </w:r>
    </w:p>
    <w:p w14:paraId="5A9A39A9" w14:textId="77777777" w:rsidR="00AF51C5" w:rsidRPr="006E2F26" w:rsidRDefault="00AF51C5" w:rsidP="00F94513">
      <w:pPr>
        <w:jc w:val="both"/>
        <w:rPr>
          <w:rFonts w:asciiTheme="minorHAnsi" w:hAnsiTheme="minorHAnsi" w:cstheme="minorHAnsi"/>
          <w:lang w:val="fr-FR"/>
        </w:rPr>
      </w:pPr>
    </w:p>
    <w:p w14:paraId="69A2E202" w14:textId="77777777" w:rsidR="004575D4" w:rsidRPr="006E2F26" w:rsidRDefault="004575D4" w:rsidP="00ED2DD3">
      <w:pPr>
        <w:jc w:val="both"/>
        <w:rPr>
          <w:rFonts w:asciiTheme="minorHAnsi" w:hAnsiTheme="minorHAnsi" w:cstheme="minorHAnsi"/>
          <w:snapToGrid w:val="0"/>
          <w:lang w:eastAsia="fr-FR"/>
        </w:rPr>
      </w:pPr>
      <w:r w:rsidRPr="006E2F26">
        <w:rPr>
          <w:rFonts w:asciiTheme="minorHAnsi" w:hAnsiTheme="minorHAnsi" w:cstheme="minorHAnsi"/>
          <w:b/>
          <w:snapToGrid w:val="0"/>
          <w:lang w:eastAsia="fr-FR"/>
        </w:rPr>
        <w:t>CONDAMNE</w:t>
      </w:r>
      <w:r w:rsidRPr="006E2F26">
        <w:rPr>
          <w:rFonts w:asciiTheme="minorHAnsi" w:hAnsiTheme="minorHAnsi" w:cstheme="minorHAnsi"/>
          <w:snapToGrid w:val="0"/>
          <w:lang w:eastAsia="fr-FR"/>
        </w:rPr>
        <w:t xml:space="preserve"> l’A.S.B.L. AILE FRANCOPHONE DE LA FEDERATION ROYALE BELGE DE TENNIS DE TABLES au pai</w:t>
      </w:r>
      <w:r w:rsidR="000228B4">
        <w:rPr>
          <w:rFonts w:asciiTheme="minorHAnsi" w:hAnsiTheme="minorHAnsi" w:cstheme="minorHAnsi"/>
          <w:snapToGrid w:val="0"/>
          <w:lang w:eastAsia="fr-FR"/>
        </w:rPr>
        <w:t>ement d’un montant de 2.219,50 Euros</w:t>
      </w:r>
      <w:r w:rsidRPr="006E2F26">
        <w:rPr>
          <w:rFonts w:asciiTheme="minorHAnsi" w:hAnsiTheme="minorHAnsi" w:cstheme="minorHAnsi"/>
          <w:snapToGrid w:val="0"/>
          <w:lang w:eastAsia="fr-FR"/>
        </w:rPr>
        <w:t xml:space="preserve"> bruts à titre d’amende civile correspondant à deux semaines de rémunération ;</w:t>
      </w:r>
    </w:p>
    <w:p w14:paraId="28C549DC" w14:textId="77777777" w:rsidR="003D7B3B" w:rsidRPr="006E2F26" w:rsidRDefault="003D7B3B" w:rsidP="00ED2DD3">
      <w:pPr>
        <w:jc w:val="both"/>
        <w:rPr>
          <w:rFonts w:asciiTheme="minorHAnsi" w:hAnsiTheme="minorHAnsi" w:cstheme="minorHAnsi"/>
          <w:snapToGrid w:val="0"/>
          <w:lang w:eastAsia="fr-FR"/>
        </w:rPr>
      </w:pPr>
    </w:p>
    <w:p w14:paraId="33AF3C50" w14:textId="77777777" w:rsidR="003D7B3B" w:rsidRPr="006E2F26" w:rsidRDefault="003D7B3B" w:rsidP="00ED2DD3">
      <w:pPr>
        <w:jc w:val="both"/>
        <w:rPr>
          <w:rFonts w:asciiTheme="minorHAnsi" w:hAnsiTheme="minorHAnsi" w:cstheme="minorHAnsi"/>
          <w:snapToGrid w:val="0"/>
          <w:lang w:eastAsia="fr-FR"/>
        </w:rPr>
      </w:pPr>
      <w:r w:rsidRPr="006E2F26">
        <w:rPr>
          <w:rFonts w:asciiTheme="minorHAnsi" w:hAnsiTheme="minorHAnsi" w:cstheme="minorHAnsi"/>
          <w:b/>
          <w:snapToGrid w:val="0"/>
          <w:lang w:eastAsia="fr-FR"/>
        </w:rPr>
        <w:t>CONDAMNE</w:t>
      </w:r>
      <w:r w:rsidRPr="006E2F26">
        <w:rPr>
          <w:rFonts w:asciiTheme="minorHAnsi" w:hAnsiTheme="minorHAnsi" w:cstheme="minorHAnsi"/>
          <w:snapToGrid w:val="0"/>
          <w:lang w:eastAsia="fr-FR"/>
        </w:rPr>
        <w:t xml:space="preserve"> l’A.S.B.L. AILE FRANCOPHONE DE LA FEDERATION ROYALE BELGE DE TENNIS DE TABLES au paiement d’un mon</w:t>
      </w:r>
      <w:r w:rsidR="000228B4">
        <w:rPr>
          <w:rFonts w:asciiTheme="minorHAnsi" w:hAnsiTheme="minorHAnsi" w:cstheme="minorHAnsi"/>
          <w:snapToGrid w:val="0"/>
          <w:lang w:eastAsia="fr-FR"/>
        </w:rPr>
        <w:t>tant de de 5.548,75 Euros</w:t>
      </w:r>
      <w:r w:rsidRPr="006E2F26">
        <w:rPr>
          <w:rFonts w:asciiTheme="minorHAnsi" w:hAnsiTheme="minorHAnsi" w:cstheme="minorHAnsi"/>
          <w:snapToGrid w:val="0"/>
          <w:lang w:eastAsia="fr-FR"/>
        </w:rPr>
        <w:t xml:space="preserve"> bruts correspondant à cinq </w:t>
      </w:r>
      <w:r w:rsidRPr="006E2F26">
        <w:rPr>
          <w:rFonts w:asciiTheme="minorHAnsi" w:hAnsiTheme="minorHAnsi" w:cstheme="minorHAnsi"/>
          <w:snapToGrid w:val="0"/>
          <w:lang w:eastAsia="fr-FR"/>
        </w:rPr>
        <w:lastRenderedPageBreak/>
        <w:t>semaines de rémunération à titre d’indemnité pour licenciement manifestement déraisonnable ;</w:t>
      </w:r>
    </w:p>
    <w:p w14:paraId="64A99629" w14:textId="77777777" w:rsidR="00457AEE" w:rsidRPr="006E2F26" w:rsidRDefault="00457AEE" w:rsidP="00ED2DD3">
      <w:pPr>
        <w:jc w:val="both"/>
        <w:rPr>
          <w:rFonts w:asciiTheme="minorHAnsi" w:hAnsiTheme="minorHAnsi" w:cstheme="minorHAnsi"/>
          <w:snapToGrid w:val="0"/>
          <w:lang w:eastAsia="fr-FR"/>
        </w:rPr>
      </w:pPr>
    </w:p>
    <w:p w14:paraId="58F29F93" w14:textId="77777777" w:rsidR="00457AEE" w:rsidRPr="006E2F26" w:rsidRDefault="00457AEE" w:rsidP="00ED2DD3">
      <w:pPr>
        <w:jc w:val="both"/>
        <w:rPr>
          <w:rFonts w:asciiTheme="minorHAnsi" w:hAnsiTheme="minorHAnsi" w:cstheme="minorHAnsi"/>
          <w:snapToGrid w:val="0"/>
          <w:lang w:eastAsia="fr-FR"/>
        </w:rPr>
      </w:pPr>
      <w:r w:rsidRPr="006E2F26">
        <w:rPr>
          <w:rFonts w:asciiTheme="minorHAnsi" w:hAnsiTheme="minorHAnsi" w:cstheme="minorHAnsi"/>
          <w:b/>
          <w:snapToGrid w:val="0"/>
          <w:lang w:eastAsia="fr-FR"/>
        </w:rPr>
        <w:t>CONDAMNE</w:t>
      </w:r>
      <w:r w:rsidRPr="006E2F26">
        <w:rPr>
          <w:rFonts w:asciiTheme="minorHAnsi" w:hAnsiTheme="minorHAnsi" w:cstheme="minorHAnsi"/>
          <w:snapToGrid w:val="0"/>
          <w:lang w:eastAsia="fr-FR"/>
        </w:rPr>
        <w:t xml:space="preserve"> </w:t>
      </w:r>
      <w:r w:rsidR="00F94513" w:rsidRPr="006E2F26">
        <w:rPr>
          <w:rFonts w:asciiTheme="minorHAnsi" w:hAnsiTheme="minorHAnsi" w:cstheme="minorHAnsi"/>
          <w:snapToGrid w:val="0"/>
          <w:lang w:eastAsia="fr-FR"/>
        </w:rPr>
        <w:t xml:space="preserve">l’A.S.B.L. AILE FRANCOPHONE DE LA FEDERATION ROYALE BELGE DE TENNIS DE TABLES </w:t>
      </w:r>
      <w:r w:rsidRPr="006E2F26">
        <w:rPr>
          <w:rFonts w:asciiTheme="minorHAnsi" w:hAnsiTheme="minorHAnsi" w:cstheme="minorHAnsi"/>
          <w:snapToGrid w:val="0"/>
          <w:lang w:eastAsia="fr-FR"/>
        </w:rPr>
        <w:t xml:space="preserve">aux intérêts légaux sur ces sommes à dater du </w:t>
      </w:r>
      <w:r w:rsidR="00547364" w:rsidRPr="006E2F26">
        <w:rPr>
          <w:rFonts w:asciiTheme="minorHAnsi" w:hAnsiTheme="minorHAnsi" w:cstheme="minorHAnsi"/>
          <w:snapToGrid w:val="0"/>
          <w:lang w:eastAsia="fr-FR"/>
        </w:rPr>
        <w:t>23 décembre</w:t>
      </w:r>
      <w:r w:rsidRPr="006E2F26">
        <w:rPr>
          <w:rFonts w:asciiTheme="minorHAnsi" w:hAnsiTheme="minorHAnsi" w:cstheme="minorHAnsi"/>
          <w:snapToGrid w:val="0"/>
          <w:lang w:eastAsia="fr-FR"/>
        </w:rPr>
        <w:t xml:space="preserve"> 2020</w:t>
      </w:r>
      <w:r w:rsidR="00547364" w:rsidRPr="006E2F26">
        <w:rPr>
          <w:rFonts w:asciiTheme="minorHAnsi" w:hAnsiTheme="minorHAnsi" w:cstheme="minorHAnsi"/>
          <w:snapToGrid w:val="0"/>
          <w:lang w:eastAsia="fr-FR"/>
        </w:rPr>
        <w:t>, comme demandé,</w:t>
      </w:r>
      <w:r w:rsidRPr="006E2F26">
        <w:rPr>
          <w:rFonts w:asciiTheme="minorHAnsi" w:hAnsiTheme="minorHAnsi" w:cstheme="minorHAnsi"/>
          <w:snapToGrid w:val="0"/>
          <w:lang w:eastAsia="fr-FR"/>
        </w:rPr>
        <w:t xml:space="preserve"> jusqu’à complet paiement ;</w:t>
      </w:r>
    </w:p>
    <w:p w14:paraId="6EE0ADD4" w14:textId="77777777" w:rsidR="00ED2DD3" w:rsidRPr="006E2F26" w:rsidRDefault="00ED2DD3" w:rsidP="00ED2DD3">
      <w:pPr>
        <w:jc w:val="both"/>
        <w:rPr>
          <w:rFonts w:asciiTheme="minorHAnsi" w:hAnsiTheme="minorHAnsi" w:cstheme="minorHAnsi"/>
          <w:snapToGrid w:val="0"/>
          <w:lang w:eastAsia="fr-FR"/>
        </w:rPr>
      </w:pPr>
    </w:p>
    <w:p w14:paraId="3C799FA4" w14:textId="77777777" w:rsidR="00ED2DD3" w:rsidRPr="006E2F26" w:rsidRDefault="00ED2DD3" w:rsidP="00ED2DD3">
      <w:pPr>
        <w:jc w:val="both"/>
        <w:rPr>
          <w:rFonts w:asciiTheme="minorHAnsi" w:hAnsiTheme="minorHAnsi" w:cstheme="minorHAnsi"/>
          <w:snapToGrid w:val="0"/>
          <w:lang w:eastAsia="fr-FR"/>
        </w:rPr>
      </w:pPr>
      <w:r w:rsidRPr="006E2F26">
        <w:rPr>
          <w:rFonts w:asciiTheme="minorHAnsi" w:hAnsiTheme="minorHAnsi" w:cstheme="minorHAnsi"/>
          <w:b/>
          <w:snapToGrid w:val="0"/>
          <w:lang w:eastAsia="fr-FR"/>
        </w:rPr>
        <w:t>CONDAMNE</w:t>
      </w:r>
      <w:r w:rsidRPr="006E2F26">
        <w:rPr>
          <w:rFonts w:asciiTheme="minorHAnsi" w:hAnsiTheme="minorHAnsi" w:cstheme="minorHAnsi"/>
          <w:snapToGrid w:val="0"/>
          <w:lang w:eastAsia="fr-FR"/>
        </w:rPr>
        <w:t xml:space="preserve"> l’A.S.B.L. AILE FRANCOPHONE DE LA FEDERATION ROYALE BELGE DE TENNIS DE TABLES aux dépens</w:t>
      </w:r>
      <w:r w:rsidR="000228B4">
        <w:rPr>
          <w:rFonts w:asciiTheme="minorHAnsi" w:hAnsiTheme="minorHAnsi" w:cstheme="minorHAnsi"/>
          <w:snapToGrid w:val="0"/>
          <w:lang w:eastAsia="fr-FR"/>
        </w:rPr>
        <w:t xml:space="preserve">, soit </w:t>
      </w:r>
      <w:r w:rsidRPr="006E2F26">
        <w:rPr>
          <w:rFonts w:asciiTheme="minorHAnsi" w:hAnsiTheme="minorHAnsi" w:cstheme="minorHAnsi"/>
          <w:snapToGrid w:val="0"/>
          <w:lang w:eastAsia="fr-FR"/>
        </w:rPr>
        <w:t>:</w:t>
      </w:r>
    </w:p>
    <w:p w14:paraId="20EE39B6" w14:textId="77777777" w:rsidR="00ED2DD3" w:rsidRPr="006E2F26" w:rsidRDefault="00ED2DD3" w:rsidP="00ED2DD3">
      <w:pPr>
        <w:jc w:val="both"/>
        <w:rPr>
          <w:rFonts w:asciiTheme="minorHAnsi" w:hAnsiTheme="minorHAnsi" w:cstheme="minorHAnsi"/>
          <w:snapToGrid w:val="0"/>
          <w:lang w:eastAsia="fr-FR"/>
        </w:rPr>
      </w:pPr>
    </w:p>
    <w:p w14:paraId="6E28BA81" w14:textId="77777777" w:rsidR="00ED2DD3" w:rsidRPr="006E2F26" w:rsidRDefault="000228B4" w:rsidP="00ED2DD3">
      <w:pPr>
        <w:pStyle w:val="Textebrut"/>
        <w:numPr>
          <w:ilvl w:val="0"/>
          <w:numId w:val="7"/>
        </w:numPr>
        <w:tabs>
          <w:tab w:val="left" w:pos="1843"/>
        </w:tabs>
        <w:jc w:val="both"/>
        <w:rPr>
          <w:rFonts w:asciiTheme="minorHAnsi" w:hAnsiTheme="minorHAnsi" w:cstheme="minorHAnsi"/>
          <w:sz w:val="24"/>
          <w:szCs w:val="24"/>
          <w:lang w:val="fr-FR"/>
        </w:rPr>
      </w:pPr>
      <w:r>
        <w:rPr>
          <w:rFonts w:asciiTheme="minorHAnsi" w:hAnsiTheme="minorHAnsi" w:cstheme="minorHAnsi"/>
          <w:sz w:val="24"/>
          <w:szCs w:val="24"/>
          <w:lang w:val="fr-FR"/>
        </w:rPr>
        <w:t>20 Euros</w:t>
      </w:r>
      <w:r w:rsidR="00ED2DD3" w:rsidRPr="006E2F26">
        <w:rPr>
          <w:rFonts w:asciiTheme="minorHAnsi" w:hAnsiTheme="minorHAnsi" w:cstheme="minorHAnsi"/>
          <w:sz w:val="24"/>
          <w:szCs w:val="24"/>
          <w:lang w:val="fr-FR"/>
        </w:rPr>
        <w:t xml:space="preserve"> de contribution au fonds d'aide juridique de deuxième ligne ;</w:t>
      </w:r>
    </w:p>
    <w:p w14:paraId="2B87DA54" w14:textId="77777777" w:rsidR="00ED2DD3" w:rsidRPr="006E2F26" w:rsidRDefault="000228B4" w:rsidP="00ED2DD3">
      <w:pPr>
        <w:pStyle w:val="Textebrut"/>
        <w:numPr>
          <w:ilvl w:val="0"/>
          <w:numId w:val="7"/>
        </w:numPr>
        <w:tabs>
          <w:tab w:val="left" w:pos="1843"/>
        </w:tabs>
        <w:jc w:val="both"/>
        <w:rPr>
          <w:rFonts w:asciiTheme="minorHAnsi" w:hAnsiTheme="minorHAnsi" w:cstheme="minorHAnsi"/>
          <w:sz w:val="24"/>
          <w:szCs w:val="24"/>
          <w:lang w:val="fr-FR"/>
        </w:rPr>
      </w:pPr>
      <w:r>
        <w:rPr>
          <w:rFonts w:asciiTheme="minorHAnsi" w:hAnsiTheme="minorHAnsi" w:cstheme="minorHAnsi"/>
          <w:sz w:val="24"/>
          <w:szCs w:val="24"/>
          <w:lang w:val="fr-FR"/>
        </w:rPr>
        <w:t>3.900 Euros</w:t>
      </w:r>
      <w:r w:rsidR="00ED2DD3" w:rsidRPr="006E2F26">
        <w:rPr>
          <w:rFonts w:asciiTheme="minorHAnsi" w:hAnsiTheme="minorHAnsi" w:cstheme="minorHAnsi"/>
          <w:sz w:val="24"/>
          <w:szCs w:val="24"/>
          <w:lang w:val="fr-FR"/>
        </w:rPr>
        <w:t xml:space="preserve"> d'indemnité de procédure.</w:t>
      </w:r>
    </w:p>
    <w:p w14:paraId="15CF9EE9" w14:textId="77777777" w:rsidR="00ED2DD3" w:rsidRPr="006E2F26" w:rsidRDefault="00ED2DD3" w:rsidP="00ED2DD3">
      <w:pPr>
        <w:jc w:val="both"/>
        <w:rPr>
          <w:rFonts w:asciiTheme="minorHAnsi" w:hAnsiTheme="minorHAnsi" w:cstheme="minorHAnsi"/>
          <w:snapToGrid w:val="0"/>
          <w:lang w:eastAsia="fr-FR"/>
        </w:rPr>
      </w:pPr>
    </w:p>
    <w:p w14:paraId="591014AE" w14:textId="77777777" w:rsidR="000A488D" w:rsidRDefault="000A488D" w:rsidP="00340823">
      <w:pPr>
        <w:jc w:val="both"/>
        <w:rPr>
          <w:rFonts w:asciiTheme="minorHAnsi" w:hAnsiTheme="minorHAnsi" w:cstheme="minorHAnsi"/>
          <w:snapToGrid w:val="0"/>
          <w:lang w:eastAsia="fr-FR"/>
        </w:rPr>
      </w:pPr>
    </w:p>
    <w:p w14:paraId="58F62E5A" w14:textId="77777777" w:rsidR="00AF51C5" w:rsidRPr="006E2F26" w:rsidRDefault="00AF51C5" w:rsidP="00340823">
      <w:pPr>
        <w:jc w:val="both"/>
        <w:rPr>
          <w:rFonts w:asciiTheme="minorHAnsi" w:hAnsiTheme="minorHAnsi" w:cstheme="minorHAnsi"/>
          <w:snapToGrid w:val="0"/>
          <w:lang w:eastAsia="fr-FR"/>
        </w:rPr>
      </w:pPr>
    </w:p>
    <w:p w14:paraId="775D160C" w14:textId="77777777" w:rsidR="000A488D" w:rsidRPr="006E2F26" w:rsidRDefault="000A488D" w:rsidP="00340823">
      <w:pPr>
        <w:jc w:val="both"/>
        <w:rPr>
          <w:rFonts w:asciiTheme="minorHAnsi" w:hAnsiTheme="minorHAnsi" w:cstheme="minorHAnsi"/>
          <w:b/>
          <w:snapToGrid w:val="0"/>
          <w:lang w:eastAsia="fr-FR"/>
        </w:rPr>
      </w:pPr>
      <w:r w:rsidRPr="006E2F26">
        <w:rPr>
          <w:rFonts w:asciiTheme="minorHAnsi" w:hAnsiTheme="minorHAnsi" w:cstheme="minorHAnsi"/>
          <w:b/>
          <w:snapToGrid w:val="0"/>
          <w:lang w:eastAsia="fr-FR"/>
        </w:rPr>
        <w:t xml:space="preserve">AINSI jugé par la </w:t>
      </w:r>
      <w:r w:rsidRPr="006E2F26">
        <w:rPr>
          <w:rFonts w:asciiTheme="minorHAnsi" w:hAnsiTheme="minorHAnsi" w:cstheme="minorHAnsi"/>
          <w:b/>
        </w:rPr>
        <w:t>Quatrième chambre du Tribunal du Travail de Liège - Division Liège</w:t>
      </w:r>
      <w:r w:rsidRPr="006E2F26">
        <w:rPr>
          <w:rFonts w:asciiTheme="minorHAnsi" w:hAnsiTheme="minorHAnsi" w:cstheme="minorHAnsi"/>
          <w:b/>
          <w:snapToGrid w:val="0"/>
          <w:lang w:eastAsia="fr-FR"/>
        </w:rPr>
        <w:t xml:space="preserve"> composée de:</w:t>
      </w:r>
    </w:p>
    <w:p w14:paraId="4923C504" w14:textId="77777777" w:rsidR="000A488D" w:rsidRPr="006E2F26" w:rsidRDefault="000A488D" w:rsidP="00340823">
      <w:pPr>
        <w:jc w:val="both"/>
        <w:rPr>
          <w:rFonts w:asciiTheme="minorHAnsi" w:hAnsiTheme="minorHAnsi" w:cstheme="minorHAnsi"/>
          <w:snapToGrid w:val="0"/>
          <w:lang w:eastAsia="fr-FR"/>
        </w:rPr>
      </w:pPr>
      <w:r w:rsidRPr="006E2F26">
        <w:rPr>
          <w:rFonts w:asciiTheme="minorHAnsi" w:hAnsiTheme="minorHAnsi" w:cstheme="minorHAnsi"/>
          <w:snapToGrid w:val="0"/>
          <w:lang w:eastAsia="fr-FR"/>
        </w:rPr>
        <w:tab/>
      </w:r>
      <w:r w:rsidRPr="006E2F26">
        <w:rPr>
          <w:rFonts w:asciiTheme="minorHAnsi" w:hAnsiTheme="minorHAnsi" w:cstheme="minorHAnsi"/>
          <w:snapToGrid w:val="0"/>
          <w:lang w:eastAsia="fr-FR"/>
        </w:rPr>
        <w:tab/>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5"/>
        <w:gridCol w:w="4248"/>
      </w:tblGrid>
      <w:tr w:rsidR="000A488D" w:rsidRPr="006E2F26" w14:paraId="6907EB4C" w14:textId="77777777" w:rsidTr="000A488D">
        <w:trPr>
          <w:trHeight w:val="289"/>
        </w:trPr>
        <w:tc>
          <w:tcPr>
            <w:tcW w:w="4501" w:type="dxa"/>
            <w:hideMark/>
          </w:tcPr>
          <w:p w14:paraId="7C4A11A0" w14:textId="77777777" w:rsidR="000A488D" w:rsidRPr="006E2F26" w:rsidRDefault="000A488D" w:rsidP="00340823">
            <w:pPr>
              <w:jc w:val="both"/>
              <w:rPr>
                <w:rFonts w:asciiTheme="minorHAnsi" w:hAnsiTheme="minorHAnsi" w:cstheme="minorHAnsi"/>
                <w:snapToGrid w:val="0"/>
                <w:lang w:eastAsia="fr-FR"/>
              </w:rPr>
            </w:pPr>
            <w:r w:rsidRPr="006E2F26">
              <w:rPr>
                <w:rFonts w:asciiTheme="minorHAnsi" w:hAnsiTheme="minorHAnsi" w:cstheme="minorHAnsi"/>
                <w:snapToGrid w:val="0"/>
                <w:lang w:eastAsia="fr-FR"/>
              </w:rPr>
              <w:t>JACQUEMIN VALERIE,</w:t>
            </w:r>
          </w:p>
        </w:tc>
        <w:tc>
          <w:tcPr>
            <w:tcW w:w="4501" w:type="dxa"/>
            <w:hideMark/>
          </w:tcPr>
          <w:p w14:paraId="40932BE6" w14:textId="77777777" w:rsidR="000A488D" w:rsidRPr="006E2F26" w:rsidRDefault="000A488D" w:rsidP="00340823">
            <w:pPr>
              <w:jc w:val="both"/>
              <w:rPr>
                <w:rFonts w:asciiTheme="minorHAnsi" w:hAnsiTheme="minorHAnsi" w:cstheme="minorHAnsi"/>
                <w:snapToGrid w:val="0"/>
                <w:lang w:eastAsia="fr-FR"/>
              </w:rPr>
            </w:pPr>
            <w:r w:rsidRPr="006E2F26">
              <w:rPr>
                <w:rFonts w:asciiTheme="minorHAnsi" w:hAnsiTheme="minorHAnsi" w:cstheme="minorHAnsi"/>
                <w:snapToGrid w:val="0"/>
                <w:lang w:eastAsia="fr-FR"/>
              </w:rPr>
              <w:t>Juge, présidant la chambre,</w:t>
            </w:r>
          </w:p>
        </w:tc>
      </w:tr>
      <w:tr w:rsidR="000A488D" w:rsidRPr="006E2F26" w14:paraId="161D87DD" w14:textId="77777777" w:rsidTr="000A488D">
        <w:trPr>
          <w:trHeight w:val="289"/>
        </w:trPr>
        <w:tc>
          <w:tcPr>
            <w:tcW w:w="4501" w:type="dxa"/>
            <w:hideMark/>
          </w:tcPr>
          <w:p w14:paraId="6FDAAD28" w14:textId="77777777" w:rsidR="000A488D" w:rsidRPr="006E2F26" w:rsidRDefault="000A488D" w:rsidP="00340823">
            <w:pPr>
              <w:jc w:val="both"/>
              <w:rPr>
                <w:rFonts w:asciiTheme="minorHAnsi" w:hAnsiTheme="minorHAnsi" w:cstheme="minorHAnsi"/>
                <w:snapToGrid w:val="0"/>
                <w:lang w:eastAsia="fr-FR"/>
              </w:rPr>
            </w:pPr>
            <w:r w:rsidRPr="006E2F26">
              <w:rPr>
                <w:rFonts w:asciiTheme="minorHAnsi" w:hAnsiTheme="minorHAnsi" w:cstheme="minorHAnsi"/>
                <w:snapToGrid w:val="0"/>
                <w:lang w:eastAsia="fr-FR"/>
              </w:rPr>
              <w:t>LESUISSE BENEDICTE,</w:t>
            </w:r>
          </w:p>
        </w:tc>
        <w:tc>
          <w:tcPr>
            <w:tcW w:w="4501" w:type="dxa"/>
            <w:hideMark/>
          </w:tcPr>
          <w:p w14:paraId="3331BC9C" w14:textId="77777777" w:rsidR="000A488D" w:rsidRPr="006E2F26" w:rsidRDefault="000A488D" w:rsidP="00340823">
            <w:pPr>
              <w:jc w:val="both"/>
              <w:rPr>
                <w:rFonts w:asciiTheme="minorHAnsi" w:hAnsiTheme="minorHAnsi" w:cstheme="minorHAnsi"/>
                <w:snapToGrid w:val="0"/>
                <w:lang w:eastAsia="fr-FR"/>
              </w:rPr>
            </w:pPr>
            <w:r w:rsidRPr="006E2F26">
              <w:rPr>
                <w:rFonts w:asciiTheme="minorHAnsi" w:hAnsiTheme="minorHAnsi" w:cstheme="minorHAnsi"/>
                <w:snapToGrid w:val="0"/>
                <w:lang w:eastAsia="fr-FR"/>
              </w:rPr>
              <w:t>Juge social employeur,</w:t>
            </w:r>
          </w:p>
        </w:tc>
      </w:tr>
      <w:tr w:rsidR="000A488D" w:rsidRPr="006E2F26" w14:paraId="132DD7D0" w14:textId="77777777" w:rsidTr="000A488D">
        <w:trPr>
          <w:trHeight w:val="289"/>
        </w:trPr>
        <w:tc>
          <w:tcPr>
            <w:tcW w:w="4501" w:type="dxa"/>
            <w:hideMark/>
          </w:tcPr>
          <w:p w14:paraId="05F1DEF0" w14:textId="77777777" w:rsidR="000A488D" w:rsidRPr="006E2F26" w:rsidRDefault="000A488D" w:rsidP="00340823">
            <w:pPr>
              <w:jc w:val="both"/>
              <w:rPr>
                <w:rFonts w:asciiTheme="minorHAnsi" w:hAnsiTheme="minorHAnsi" w:cstheme="minorHAnsi"/>
                <w:snapToGrid w:val="0"/>
                <w:lang w:eastAsia="fr-FR"/>
              </w:rPr>
            </w:pPr>
            <w:r w:rsidRPr="006E2F26">
              <w:rPr>
                <w:rFonts w:asciiTheme="minorHAnsi" w:hAnsiTheme="minorHAnsi" w:cstheme="minorHAnsi"/>
                <w:snapToGrid w:val="0"/>
                <w:lang w:eastAsia="fr-FR"/>
              </w:rPr>
              <w:t>THIELMANS ANDRE,</w:t>
            </w:r>
          </w:p>
        </w:tc>
        <w:tc>
          <w:tcPr>
            <w:tcW w:w="4501" w:type="dxa"/>
            <w:hideMark/>
          </w:tcPr>
          <w:p w14:paraId="2B0252C3" w14:textId="77777777" w:rsidR="000A488D" w:rsidRPr="006E2F26" w:rsidRDefault="000A488D" w:rsidP="00340823">
            <w:pPr>
              <w:jc w:val="both"/>
              <w:rPr>
                <w:rFonts w:asciiTheme="minorHAnsi" w:hAnsiTheme="minorHAnsi" w:cstheme="minorHAnsi"/>
                <w:snapToGrid w:val="0"/>
                <w:lang w:eastAsia="fr-FR"/>
              </w:rPr>
            </w:pPr>
            <w:r w:rsidRPr="006E2F26">
              <w:rPr>
                <w:rFonts w:asciiTheme="minorHAnsi" w:hAnsiTheme="minorHAnsi" w:cstheme="minorHAnsi"/>
                <w:snapToGrid w:val="0"/>
                <w:lang w:eastAsia="fr-FR"/>
              </w:rPr>
              <w:t>Juge social employé,</w:t>
            </w:r>
          </w:p>
        </w:tc>
      </w:tr>
    </w:tbl>
    <w:p w14:paraId="60BCF94A" w14:textId="77777777" w:rsidR="000A488D" w:rsidRPr="006E2F26" w:rsidRDefault="000A488D" w:rsidP="00340823">
      <w:pPr>
        <w:jc w:val="both"/>
        <w:rPr>
          <w:rFonts w:asciiTheme="minorHAnsi" w:hAnsiTheme="minorHAnsi" w:cstheme="minorHAnsi"/>
          <w:snapToGrid w:val="0"/>
          <w:lang w:eastAsia="fr-FR"/>
        </w:rPr>
      </w:pPr>
    </w:p>
    <w:p w14:paraId="4CB46499" w14:textId="77777777" w:rsidR="000A488D" w:rsidRPr="006E2F26" w:rsidRDefault="00AF51C5" w:rsidP="00AF51C5">
      <w:pPr>
        <w:snapToGrid w:val="0"/>
        <w:jc w:val="both"/>
        <w:rPr>
          <w:rFonts w:asciiTheme="minorHAnsi" w:eastAsia="Times New Roman" w:hAnsiTheme="minorHAnsi" w:cstheme="minorHAnsi"/>
          <w:snapToGrid w:val="0"/>
          <w:lang w:val="fr-FR" w:eastAsia="fr-FR"/>
        </w:rPr>
      </w:pPr>
      <w:r>
        <w:rPr>
          <w:rFonts w:asciiTheme="minorHAnsi" w:eastAsia="Times New Roman" w:hAnsiTheme="minorHAnsi" w:cstheme="minorHAnsi"/>
          <w:snapToGrid w:val="0"/>
          <w:lang w:val="fr-FR" w:eastAsia="fr-FR"/>
        </w:rPr>
        <w:t xml:space="preserve">  </w:t>
      </w:r>
      <w:r w:rsidR="000A488D" w:rsidRPr="006E2F26">
        <w:rPr>
          <w:rFonts w:asciiTheme="minorHAnsi" w:eastAsia="Times New Roman" w:hAnsiTheme="minorHAnsi" w:cstheme="minorHAnsi"/>
          <w:snapToGrid w:val="0"/>
          <w:lang w:val="fr-FR" w:eastAsia="fr-FR"/>
        </w:rPr>
        <w:t>Les Juges sociaux,</w:t>
      </w:r>
      <w:r w:rsidR="000A488D" w:rsidRPr="006E2F26">
        <w:rPr>
          <w:rFonts w:asciiTheme="minorHAnsi" w:eastAsia="Times New Roman" w:hAnsiTheme="minorHAnsi" w:cstheme="minorHAnsi"/>
          <w:snapToGrid w:val="0"/>
          <w:lang w:val="fr-FR" w:eastAsia="fr-FR"/>
        </w:rPr>
        <w:tab/>
      </w:r>
      <w:r w:rsidR="000A488D" w:rsidRPr="006E2F26">
        <w:rPr>
          <w:rFonts w:asciiTheme="minorHAnsi" w:eastAsia="Times New Roman" w:hAnsiTheme="minorHAnsi" w:cstheme="minorHAnsi"/>
          <w:snapToGrid w:val="0"/>
          <w:lang w:val="fr-FR" w:eastAsia="fr-FR"/>
        </w:rPr>
        <w:tab/>
      </w:r>
      <w:r w:rsidR="000A488D" w:rsidRPr="006E2F26">
        <w:rPr>
          <w:rFonts w:asciiTheme="minorHAnsi" w:eastAsia="Times New Roman" w:hAnsiTheme="minorHAnsi" w:cstheme="minorHAnsi"/>
          <w:snapToGrid w:val="0"/>
          <w:lang w:val="fr-FR" w:eastAsia="fr-FR"/>
        </w:rPr>
        <w:tab/>
      </w:r>
      <w:r w:rsidR="000A488D" w:rsidRPr="006E2F26">
        <w:rPr>
          <w:rFonts w:asciiTheme="minorHAnsi" w:eastAsia="Times New Roman" w:hAnsiTheme="minorHAnsi" w:cstheme="minorHAnsi"/>
          <w:snapToGrid w:val="0"/>
          <w:lang w:val="fr-FR" w:eastAsia="fr-FR"/>
        </w:rPr>
        <w:tab/>
      </w:r>
      <w:r w:rsidR="000A488D" w:rsidRPr="006E2F26">
        <w:rPr>
          <w:rFonts w:asciiTheme="minorHAnsi" w:eastAsia="Times New Roman" w:hAnsiTheme="minorHAnsi" w:cstheme="minorHAnsi"/>
          <w:snapToGrid w:val="0"/>
          <w:lang w:val="fr-FR" w:eastAsia="fr-FR"/>
        </w:rPr>
        <w:tab/>
        <w:t>Le Juge,</w:t>
      </w:r>
    </w:p>
    <w:p w14:paraId="3F841DD2" w14:textId="77777777" w:rsidR="000A488D" w:rsidRPr="006E2F26" w:rsidRDefault="000A488D" w:rsidP="00340823">
      <w:pPr>
        <w:jc w:val="both"/>
        <w:rPr>
          <w:rFonts w:asciiTheme="minorHAnsi" w:hAnsiTheme="minorHAnsi" w:cstheme="minorHAnsi"/>
          <w:snapToGrid w:val="0"/>
          <w:lang w:val="fr-FR" w:eastAsia="fr-FR"/>
        </w:rPr>
      </w:pPr>
    </w:p>
    <w:p w14:paraId="4A78CBC4" w14:textId="77777777" w:rsidR="000A488D" w:rsidRPr="006E2F26" w:rsidRDefault="000A488D" w:rsidP="00340823">
      <w:pPr>
        <w:jc w:val="both"/>
        <w:rPr>
          <w:rFonts w:asciiTheme="minorHAnsi" w:hAnsiTheme="minorHAnsi" w:cstheme="minorHAnsi"/>
          <w:snapToGrid w:val="0"/>
          <w:lang w:eastAsia="fr-FR"/>
        </w:rPr>
      </w:pPr>
    </w:p>
    <w:p w14:paraId="172E0D2D" w14:textId="77777777" w:rsidR="00C37B19" w:rsidRPr="006E2F26" w:rsidRDefault="00C37B19" w:rsidP="00340823">
      <w:pPr>
        <w:jc w:val="both"/>
        <w:rPr>
          <w:rFonts w:asciiTheme="minorHAnsi" w:hAnsiTheme="minorHAnsi" w:cstheme="minorHAnsi"/>
          <w:snapToGrid w:val="0"/>
          <w:lang w:eastAsia="fr-FR"/>
        </w:rPr>
      </w:pPr>
    </w:p>
    <w:p w14:paraId="5CBC2B32" w14:textId="77777777" w:rsidR="00C37B19" w:rsidRPr="006E2F26" w:rsidRDefault="00C37B19" w:rsidP="00340823">
      <w:pPr>
        <w:jc w:val="both"/>
        <w:rPr>
          <w:rFonts w:asciiTheme="minorHAnsi" w:hAnsiTheme="minorHAnsi" w:cstheme="minorHAnsi"/>
          <w:snapToGrid w:val="0"/>
          <w:lang w:eastAsia="fr-FR"/>
        </w:rPr>
      </w:pPr>
    </w:p>
    <w:p w14:paraId="39D211AE" w14:textId="77777777" w:rsidR="00C37B19" w:rsidRPr="006E2F26" w:rsidRDefault="00C37B19" w:rsidP="00340823">
      <w:pPr>
        <w:jc w:val="both"/>
        <w:rPr>
          <w:rFonts w:asciiTheme="minorHAnsi" w:hAnsiTheme="minorHAnsi" w:cstheme="minorHAnsi"/>
          <w:snapToGrid w:val="0"/>
          <w:lang w:eastAsia="fr-FR"/>
        </w:rPr>
      </w:pPr>
    </w:p>
    <w:p w14:paraId="4AFD04FF" w14:textId="77777777" w:rsidR="00C37B19" w:rsidRPr="006E2F26" w:rsidRDefault="00C37B19" w:rsidP="00340823">
      <w:pPr>
        <w:jc w:val="both"/>
        <w:rPr>
          <w:rFonts w:asciiTheme="minorHAnsi" w:hAnsiTheme="minorHAnsi" w:cstheme="minorHAnsi"/>
          <w:snapToGrid w:val="0"/>
          <w:lang w:eastAsia="fr-FR"/>
        </w:rPr>
      </w:pPr>
    </w:p>
    <w:p w14:paraId="67B57ABC" w14:textId="77777777" w:rsidR="00C37B19" w:rsidRPr="006E2F26" w:rsidRDefault="00C37B19" w:rsidP="00C37B19">
      <w:pPr>
        <w:jc w:val="both"/>
        <w:rPr>
          <w:rFonts w:asciiTheme="minorHAnsi" w:hAnsiTheme="minorHAnsi" w:cstheme="minorHAnsi"/>
          <w:snapToGrid w:val="0"/>
          <w:lang w:eastAsia="fr-FR"/>
        </w:rPr>
      </w:pPr>
      <w:r w:rsidRPr="006E2F26">
        <w:rPr>
          <w:rFonts w:asciiTheme="minorHAnsi" w:hAnsiTheme="minorHAnsi" w:cstheme="minorHAnsi"/>
          <w:snapToGrid w:val="0"/>
          <w:lang w:eastAsia="fr-FR"/>
        </w:rPr>
        <w:t xml:space="preserve">Et prononcé en langue française à l’audience publique de la même chambre le </w:t>
      </w:r>
      <w:sdt>
        <w:sdtPr>
          <w:rPr>
            <w:rFonts w:asciiTheme="minorHAnsi" w:hAnsiTheme="minorHAnsi" w:cstheme="minorHAnsi"/>
            <w:b/>
          </w:rPr>
          <w:id w:val="-662859851"/>
          <w:placeholder>
            <w:docPart w:val="1EDD189C36DD456687215595C0F14F15"/>
          </w:placeholder>
          <w:date w:fullDate="2022-04-26T00:00:00Z">
            <w:dateFormat w:val="dd/MM/yyyy"/>
            <w:lid w:val="fr-BE"/>
            <w:storeMappedDataAs w:val="dateTime"/>
            <w:calendar w:val="gregorian"/>
          </w:date>
        </w:sdtPr>
        <w:sdtEndPr/>
        <w:sdtContent>
          <w:r w:rsidRPr="006E2F26">
            <w:rPr>
              <w:rFonts w:asciiTheme="minorHAnsi" w:hAnsiTheme="minorHAnsi" w:cstheme="minorHAnsi"/>
              <w:b/>
            </w:rPr>
            <w:t>26/04/2022</w:t>
          </w:r>
        </w:sdtContent>
      </w:sdt>
      <w:r w:rsidRPr="006E2F26">
        <w:rPr>
          <w:rFonts w:asciiTheme="minorHAnsi" w:hAnsiTheme="minorHAnsi" w:cstheme="minorHAnsi"/>
          <w:b/>
        </w:rPr>
        <w:t xml:space="preserve"> </w:t>
      </w:r>
      <w:r w:rsidRPr="006E2F26">
        <w:rPr>
          <w:rFonts w:asciiTheme="minorHAnsi" w:hAnsiTheme="minorHAnsi" w:cstheme="minorHAnsi"/>
          <w:b/>
          <w:snapToGrid w:val="0"/>
          <w:lang w:eastAsia="fr-FR"/>
        </w:rPr>
        <w:t>par JACQUEMIN VALERIE,</w:t>
      </w:r>
      <w:r w:rsidRPr="006E2F26">
        <w:rPr>
          <w:rFonts w:asciiTheme="minorHAnsi" w:hAnsiTheme="minorHAnsi" w:cstheme="minorHAnsi"/>
          <w:snapToGrid w:val="0"/>
          <w:lang w:eastAsia="fr-FR"/>
        </w:rPr>
        <w:t xml:space="preserve"> Juge, présidant la chambre, assistée de SCHYNS CLARISSE, Expert, Greffier assumé en application de l’Article 329 du </w:t>
      </w:r>
      <w:proofErr w:type="spellStart"/>
      <w:r w:rsidRPr="006E2F26">
        <w:rPr>
          <w:rFonts w:asciiTheme="minorHAnsi" w:hAnsiTheme="minorHAnsi" w:cstheme="minorHAnsi"/>
          <w:snapToGrid w:val="0"/>
          <w:lang w:eastAsia="fr-FR"/>
        </w:rPr>
        <w:t>C.j</w:t>
      </w:r>
      <w:proofErr w:type="spellEnd"/>
      <w:r w:rsidRPr="006E2F26">
        <w:rPr>
          <w:rFonts w:asciiTheme="minorHAnsi" w:hAnsiTheme="minorHAnsi" w:cstheme="minorHAnsi"/>
          <w:snapToGrid w:val="0"/>
          <w:lang w:eastAsia="fr-FR"/>
        </w:rPr>
        <w:t>.</w:t>
      </w:r>
    </w:p>
    <w:p w14:paraId="38325ECE" w14:textId="77777777" w:rsidR="00C37B19" w:rsidRPr="006E2F26" w:rsidRDefault="00C37B19" w:rsidP="00C37B19">
      <w:pPr>
        <w:jc w:val="both"/>
        <w:rPr>
          <w:rFonts w:asciiTheme="minorHAnsi" w:hAnsiTheme="minorHAnsi" w:cstheme="minorHAnsi"/>
          <w:b/>
          <w:snapToGrid w:val="0"/>
          <w:lang w:eastAsia="fr-FR"/>
        </w:rPr>
      </w:pPr>
    </w:p>
    <w:p w14:paraId="7F6BDCE0" w14:textId="77777777" w:rsidR="00C37B19" w:rsidRPr="006E2F26" w:rsidRDefault="00C37B19" w:rsidP="00C37B19">
      <w:pPr>
        <w:snapToGrid w:val="0"/>
        <w:jc w:val="center"/>
        <w:rPr>
          <w:rFonts w:asciiTheme="minorHAnsi" w:eastAsia="Times New Roman" w:hAnsiTheme="minorHAnsi" w:cstheme="minorHAnsi"/>
          <w:snapToGrid w:val="0"/>
          <w:lang w:val="fr-FR" w:eastAsia="fr-FR"/>
        </w:rPr>
      </w:pPr>
      <w:r w:rsidRPr="006E2F26">
        <w:rPr>
          <w:rFonts w:asciiTheme="minorHAnsi" w:eastAsia="Times New Roman" w:hAnsiTheme="minorHAnsi" w:cstheme="minorHAnsi"/>
          <w:snapToGrid w:val="0"/>
          <w:lang w:val="fr-FR" w:eastAsia="fr-FR"/>
        </w:rPr>
        <w:t>Le Greffier,</w:t>
      </w:r>
      <w:r w:rsidRPr="006E2F26">
        <w:rPr>
          <w:rFonts w:asciiTheme="minorHAnsi" w:eastAsia="Times New Roman" w:hAnsiTheme="minorHAnsi" w:cstheme="minorHAnsi"/>
          <w:snapToGrid w:val="0"/>
          <w:lang w:val="fr-FR" w:eastAsia="fr-FR"/>
        </w:rPr>
        <w:tab/>
      </w:r>
      <w:r w:rsidRPr="006E2F26">
        <w:rPr>
          <w:rFonts w:asciiTheme="minorHAnsi" w:eastAsia="Times New Roman" w:hAnsiTheme="minorHAnsi" w:cstheme="minorHAnsi"/>
          <w:snapToGrid w:val="0"/>
          <w:lang w:val="fr-FR" w:eastAsia="fr-FR"/>
        </w:rPr>
        <w:tab/>
      </w:r>
      <w:r w:rsidRPr="006E2F26">
        <w:rPr>
          <w:rFonts w:asciiTheme="minorHAnsi" w:eastAsia="Times New Roman" w:hAnsiTheme="minorHAnsi" w:cstheme="minorHAnsi"/>
          <w:snapToGrid w:val="0"/>
          <w:lang w:val="fr-FR" w:eastAsia="fr-FR"/>
        </w:rPr>
        <w:tab/>
      </w:r>
      <w:r w:rsidRPr="006E2F26">
        <w:rPr>
          <w:rFonts w:asciiTheme="minorHAnsi" w:eastAsia="Times New Roman" w:hAnsiTheme="minorHAnsi" w:cstheme="minorHAnsi"/>
          <w:snapToGrid w:val="0"/>
          <w:lang w:val="fr-FR" w:eastAsia="fr-FR"/>
        </w:rPr>
        <w:tab/>
        <w:t>Le Juge.</w:t>
      </w:r>
    </w:p>
    <w:p w14:paraId="6805679F" w14:textId="77777777" w:rsidR="00C37B19" w:rsidRPr="00340823" w:rsidRDefault="00C37B19" w:rsidP="00340823">
      <w:pPr>
        <w:jc w:val="both"/>
        <w:rPr>
          <w:rFonts w:asciiTheme="minorHAnsi" w:hAnsiTheme="minorHAnsi" w:cstheme="minorHAnsi"/>
          <w:snapToGrid w:val="0"/>
          <w:sz w:val="22"/>
          <w:szCs w:val="22"/>
          <w:lang w:eastAsia="fr-FR"/>
        </w:rPr>
      </w:pPr>
    </w:p>
    <w:sectPr w:rsidR="00C37B19" w:rsidRPr="00340823" w:rsidSect="002D50E6">
      <w:headerReference w:type="default" r:id="rId10"/>
      <w:headerReference w:type="first" r:id="rId11"/>
      <w:pgSz w:w="11905" w:h="16837"/>
      <w:pgMar w:top="1134" w:right="1134" w:bottom="992" w:left="226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90C97" w14:textId="77777777" w:rsidR="001165D7" w:rsidRDefault="001165D7">
      <w:r>
        <w:separator/>
      </w:r>
    </w:p>
  </w:endnote>
  <w:endnote w:type="continuationSeparator" w:id="0">
    <w:p w14:paraId="32478D26" w14:textId="77777777" w:rsidR="001165D7" w:rsidRDefault="0011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0"/>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557DD" w14:textId="77777777" w:rsidR="001165D7" w:rsidRDefault="001165D7">
      <w:r>
        <w:separator/>
      </w:r>
    </w:p>
  </w:footnote>
  <w:footnote w:type="continuationSeparator" w:id="0">
    <w:p w14:paraId="517BE20B" w14:textId="77777777" w:rsidR="001165D7" w:rsidRDefault="001165D7">
      <w:r>
        <w:continuationSeparator/>
      </w:r>
    </w:p>
  </w:footnote>
  <w:footnote w:id="1">
    <w:p w14:paraId="3E83A8E4" w14:textId="77777777" w:rsidR="001165D7" w:rsidRPr="00693289" w:rsidRDefault="001165D7" w:rsidP="00693289">
      <w:pPr>
        <w:pStyle w:val="Notedebasdepage"/>
        <w:jc w:val="both"/>
        <w:rPr>
          <w:rFonts w:asciiTheme="minorHAnsi" w:hAnsiTheme="minorHAnsi" w:cstheme="minorHAnsi"/>
        </w:rPr>
      </w:pPr>
      <w:r w:rsidRPr="00693289">
        <w:rPr>
          <w:rStyle w:val="Appelnotedebasdep"/>
          <w:rFonts w:asciiTheme="minorHAnsi" w:hAnsiTheme="minorHAnsi" w:cstheme="minorHAnsi"/>
        </w:rPr>
        <w:footnoteRef/>
      </w:r>
      <w:r w:rsidRPr="00693289">
        <w:rPr>
          <w:rFonts w:asciiTheme="minorHAnsi" w:hAnsiTheme="minorHAnsi" w:cstheme="minorHAnsi"/>
        </w:rPr>
        <w:t xml:space="preserve"> Arrêté royal du 6 novembre 2007 étendant aux arbitres de football l'application des dispositions de la loi du 24 février 1978 relative au contrat de travail du sportif rémunéré.</w:t>
      </w:r>
    </w:p>
  </w:footnote>
  <w:footnote w:id="2">
    <w:p w14:paraId="5BF3076C" w14:textId="77777777" w:rsidR="001165D7" w:rsidRPr="00693289" w:rsidRDefault="001165D7" w:rsidP="00693289">
      <w:pPr>
        <w:pStyle w:val="Notedebasdepage"/>
        <w:jc w:val="both"/>
        <w:rPr>
          <w:rFonts w:asciiTheme="minorHAnsi" w:hAnsiTheme="minorHAnsi" w:cstheme="minorHAnsi"/>
        </w:rPr>
      </w:pPr>
      <w:r w:rsidRPr="00693289">
        <w:rPr>
          <w:rStyle w:val="Appelnotedebasdep"/>
          <w:rFonts w:asciiTheme="minorHAnsi" w:hAnsiTheme="minorHAnsi" w:cstheme="minorHAnsi"/>
        </w:rPr>
        <w:footnoteRef/>
      </w:r>
      <w:r w:rsidRPr="00693289">
        <w:rPr>
          <w:rFonts w:asciiTheme="minorHAnsi" w:hAnsiTheme="minorHAnsi" w:cstheme="minorHAnsi"/>
        </w:rPr>
        <w:t xml:space="preserve"> Arrêté royal du 19 juin 2015 étendant aux arbitres de basketball l'application des dispositions de la loi du 24 février 1978 relative au contrat de travail du sportif rémunéré.</w:t>
      </w:r>
    </w:p>
  </w:footnote>
  <w:footnote w:id="3">
    <w:p w14:paraId="157096D9" w14:textId="77777777" w:rsidR="001165D7" w:rsidRPr="00693289" w:rsidRDefault="001165D7" w:rsidP="00693289">
      <w:pPr>
        <w:pStyle w:val="Notedebasdepage"/>
        <w:jc w:val="both"/>
        <w:rPr>
          <w:rFonts w:asciiTheme="minorHAnsi" w:hAnsiTheme="minorHAnsi" w:cstheme="minorHAnsi"/>
        </w:rPr>
      </w:pPr>
      <w:r w:rsidRPr="00693289">
        <w:rPr>
          <w:rStyle w:val="Appelnotedebasdep"/>
          <w:rFonts w:asciiTheme="minorHAnsi" w:hAnsiTheme="minorHAnsi" w:cstheme="minorHAnsi"/>
        </w:rPr>
        <w:footnoteRef/>
      </w:r>
      <w:r w:rsidRPr="00693289">
        <w:rPr>
          <w:rFonts w:asciiTheme="minorHAnsi" w:hAnsiTheme="minorHAnsi" w:cstheme="minorHAnsi"/>
        </w:rPr>
        <w:t xml:space="preserve"> Arrêté royal du 15 décembre 2006 étendant aux entraîneurs de football l'application des dispositions de la loi du 24 février 1978 relative au contrat de travail du sportif rémunéré, ensuite abrogé par l’arrêté royal du 13 novembre 2012.</w:t>
      </w:r>
    </w:p>
  </w:footnote>
  <w:footnote w:id="4">
    <w:p w14:paraId="1B57C9CB" w14:textId="77777777" w:rsidR="001165D7" w:rsidRPr="00693289" w:rsidRDefault="001165D7" w:rsidP="00693289">
      <w:pPr>
        <w:pStyle w:val="Notedebasdepage"/>
        <w:jc w:val="both"/>
        <w:rPr>
          <w:rFonts w:asciiTheme="minorHAnsi" w:hAnsiTheme="minorHAnsi" w:cstheme="minorHAnsi"/>
        </w:rPr>
      </w:pPr>
      <w:r w:rsidRPr="00693289">
        <w:rPr>
          <w:rStyle w:val="Appelnotedebasdep"/>
          <w:rFonts w:asciiTheme="minorHAnsi" w:hAnsiTheme="minorHAnsi" w:cstheme="minorHAnsi"/>
        </w:rPr>
        <w:footnoteRef/>
      </w:r>
      <w:r w:rsidRPr="00693289">
        <w:rPr>
          <w:rFonts w:asciiTheme="minorHAnsi" w:hAnsiTheme="minorHAnsi" w:cstheme="minorHAnsi"/>
        </w:rPr>
        <w:t xml:space="preserve"> Arrêté royal du 13 novembre 2012 étendant aux entraîneurs de football, de basketball, de volleyball et du cyclisme de l'application des dispositions de la loi du 24 février 1978 relative au contrat de travail du sportif rémunéré.</w:t>
      </w:r>
    </w:p>
  </w:footnote>
  <w:footnote w:id="5">
    <w:p w14:paraId="11E524C0" w14:textId="77777777" w:rsidR="001165D7" w:rsidRPr="00693289" w:rsidRDefault="001165D7" w:rsidP="00693289">
      <w:pPr>
        <w:pStyle w:val="Notedebasdepage"/>
        <w:jc w:val="both"/>
        <w:rPr>
          <w:rFonts w:asciiTheme="minorHAnsi" w:hAnsiTheme="minorHAnsi" w:cstheme="minorHAnsi"/>
        </w:rPr>
      </w:pPr>
      <w:r w:rsidRPr="00693289">
        <w:rPr>
          <w:rStyle w:val="Appelnotedebasdep"/>
          <w:rFonts w:asciiTheme="minorHAnsi" w:hAnsiTheme="minorHAnsi" w:cstheme="minorHAnsi"/>
        </w:rPr>
        <w:footnoteRef/>
      </w:r>
      <w:r w:rsidRPr="00693289">
        <w:rPr>
          <w:rFonts w:asciiTheme="minorHAnsi" w:hAnsiTheme="minorHAnsi" w:cstheme="minorHAnsi"/>
        </w:rPr>
        <w:t xml:space="preserve"> Cass., 26 janvier 2015, </w:t>
      </w:r>
      <w:r w:rsidRPr="00693289">
        <w:rPr>
          <w:rFonts w:asciiTheme="minorHAnsi" w:hAnsiTheme="minorHAnsi" w:cstheme="minorHAnsi"/>
          <w:i/>
        </w:rPr>
        <w:t>J.T.T.,</w:t>
      </w:r>
      <w:r w:rsidRPr="00693289">
        <w:rPr>
          <w:rFonts w:asciiTheme="minorHAnsi" w:hAnsiTheme="minorHAnsi" w:cstheme="minorHAnsi"/>
        </w:rPr>
        <w:t xml:space="preserve"> 2015, p. 152.</w:t>
      </w:r>
    </w:p>
  </w:footnote>
  <w:footnote w:id="6">
    <w:p w14:paraId="1EBF8F7A" w14:textId="77777777" w:rsidR="001165D7" w:rsidRPr="00693289" w:rsidRDefault="001165D7" w:rsidP="00693289">
      <w:pPr>
        <w:pStyle w:val="Notedebasdepage"/>
        <w:jc w:val="both"/>
        <w:rPr>
          <w:rFonts w:asciiTheme="minorHAnsi" w:hAnsiTheme="minorHAnsi" w:cstheme="minorHAnsi"/>
        </w:rPr>
      </w:pPr>
      <w:r w:rsidRPr="00693289">
        <w:rPr>
          <w:rStyle w:val="Appelnotedebasdep"/>
          <w:rFonts w:asciiTheme="minorHAnsi" w:hAnsiTheme="minorHAnsi" w:cstheme="minorHAnsi"/>
        </w:rPr>
        <w:footnoteRef/>
      </w:r>
      <w:r w:rsidRPr="00693289">
        <w:rPr>
          <w:rFonts w:asciiTheme="minorHAnsi" w:hAnsiTheme="minorHAnsi" w:cstheme="minorHAnsi"/>
        </w:rPr>
        <w:t xml:space="preserve"> Elle est égale à la rémunération en cours correspondant aux rémunérations à échoir jusqu'à la fin de la saison sportive, un minimum de 25 p.c. de la rémunération annuelle étant dû.</w:t>
      </w:r>
    </w:p>
  </w:footnote>
  <w:footnote w:id="7">
    <w:p w14:paraId="35EFF7DD" w14:textId="77777777" w:rsidR="001165D7" w:rsidRPr="00693289" w:rsidRDefault="001165D7" w:rsidP="00693289">
      <w:pPr>
        <w:pStyle w:val="Notedebasdepage"/>
        <w:jc w:val="both"/>
        <w:rPr>
          <w:rFonts w:asciiTheme="minorHAnsi" w:hAnsiTheme="minorHAnsi" w:cstheme="minorHAnsi"/>
        </w:rPr>
      </w:pPr>
      <w:r w:rsidRPr="00693289">
        <w:rPr>
          <w:rStyle w:val="Appelnotedebasdep"/>
          <w:rFonts w:asciiTheme="minorHAnsi" w:hAnsiTheme="minorHAnsi" w:cstheme="minorHAnsi"/>
        </w:rPr>
        <w:footnoteRef/>
      </w:r>
      <w:r w:rsidRPr="00693289">
        <w:rPr>
          <w:rFonts w:asciiTheme="minorHAnsi" w:hAnsiTheme="minorHAnsi" w:cstheme="minorHAnsi"/>
        </w:rPr>
        <w:t xml:space="preserve"> Arrêté royal fixant le montant de l'indemnité visée à l'article 5, alinéa 2, de la loi du 24 février 1978 relative au contrat de travail du sportif rémunéré.</w:t>
      </w:r>
    </w:p>
  </w:footnote>
  <w:footnote w:id="8">
    <w:p w14:paraId="5204AA22" w14:textId="77777777" w:rsidR="001165D7" w:rsidRPr="00693289" w:rsidRDefault="001165D7" w:rsidP="00693289">
      <w:pPr>
        <w:pStyle w:val="Notedebasdepage"/>
        <w:jc w:val="both"/>
        <w:rPr>
          <w:rFonts w:asciiTheme="minorHAnsi" w:hAnsiTheme="minorHAnsi" w:cstheme="minorHAnsi"/>
        </w:rPr>
      </w:pPr>
      <w:r w:rsidRPr="00693289">
        <w:rPr>
          <w:rStyle w:val="Appelnotedebasdep"/>
          <w:rFonts w:asciiTheme="minorHAnsi" w:hAnsiTheme="minorHAnsi" w:cstheme="minorHAnsi"/>
        </w:rPr>
        <w:footnoteRef/>
      </w:r>
      <w:r w:rsidRPr="00693289">
        <w:rPr>
          <w:rFonts w:asciiTheme="minorHAnsi" w:hAnsiTheme="minorHAnsi" w:cstheme="minorHAnsi"/>
        </w:rPr>
        <w:t xml:space="preserve"> M.-F. RIGAUX Du bon usage de l’article 159 de la Constitution, Actualités et perspectives de l’exception d’illégalité pour violation du principe d’égalité et de non-discrimination, </w:t>
      </w:r>
      <w:r w:rsidRPr="00B44084">
        <w:rPr>
          <w:rFonts w:asciiTheme="minorHAnsi" w:hAnsiTheme="minorHAnsi" w:cstheme="minorHAnsi"/>
          <w:i/>
        </w:rPr>
        <w:t>J.T.,</w:t>
      </w:r>
      <w:r w:rsidRPr="00693289">
        <w:rPr>
          <w:rFonts w:asciiTheme="minorHAnsi" w:hAnsiTheme="minorHAnsi" w:cstheme="minorHAnsi"/>
        </w:rPr>
        <w:t xml:space="preserve"> 2021, p. 108, qui précise que cette observation vaut, que la Cour constitutionnelle soit saisie par voie d’action (c’est-à-dire dans le cadre d’un recours en annulation) ou par voie d’exception dans le </w:t>
      </w:r>
      <w:r w:rsidR="00B44084">
        <w:rPr>
          <w:rFonts w:asciiTheme="minorHAnsi" w:hAnsiTheme="minorHAnsi" w:cstheme="minorHAnsi"/>
        </w:rPr>
        <w:t>cadre d’un litige concret porté</w:t>
      </w:r>
      <w:r w:rsidRPr="00693289">
        <w:rPr>
          <w:rFonts w:asciiTheme="minorHAnsi" w:hAnsiTheme="minorHAnsi" w:cstheme="minorHAnsi"/>
        </w:rPr>
        <w:t xml:space="preserve"> devant une juridiction (c’est-à-dire dans le cadre d’une question préjudicielle).</w:t>
      </w:r>
    </w:p>
  </w:footnote>
  <w:footnote w:id="9">
    <w:p w14:paraId="17FFB3D2" w14:textId="77777777" w:rsidR="001165D7" w:rsidRPr="00693289" w:rsidRDefault="001165D7" w:rsidP="00693289">
      <w:pPr>
        <w:pStyle w:val="Notedebasdepage"/>
        <w:jc w:val="both"/>
        <w:rPr>
          <w:rFonts w:asciiTheme="minorHAnsi" w:hAnsiTheme="minorHAnsi" w:cstheme="minorHAnsi"/>
        </w:rPr>
      </w:pPr>
      <w:r w:rsidRPr="00693289">
        <w:rPr>
          <w:rStyle w:val="Appelnotedebasdep"/>
          <w:rFonts w:asciiTheme="minorHAnsi" w:hAnsiTheme="minorHAnsi" w:cstheme="minorHAnsi"/>
        </w:rPr>
        <w:footnoteRef/>
      </w:r>
      <w:r w:rsidRPr="00693289">
        <w:rPr>
          <w:rFonts w:asciiTheme="minorHAnsi" w:hAnsiTheme="minorHAnsi" w:cstheme="minorHAnsi"/>
        </w:rPr>
        <w:t xml:space="preserve"> Jurisprudence constante de la Cour de Cassation, voyez Cass., 26.02.1980, </w:t>
      </w:r>
      <w:r w:rsidRPr="00693289">
        <w:rPr>
          <w:rFonts w:asciiTheme="minorHAnsi" w:hAnsiTheme="minorHAnsi" w:cstheme="minorHAnsi"/>
          <w:i/>
        </w:rPr>
        <w:t>Pas</w:t>
      </w:r>
      <w:r w:rsidRPr="00693289">
        <w:rPr>
          <w:rFonts w:asciiTheme="minorHAnsi" w:hAnsiTheme="minorHAnsi" w:cstheme="minorHAnsi"/>
        </w:rPr>
        <w:t xml:space="preserve">., 1980, I, p. 774 et Cass., 10.09.2007, </w:t>
      </w:r>
      <w:r w:rsidRPr="00693289">
        <w:rPr>
          <w:rFonts w:asciiTheme="minorHAnsi" w:hAnsiTheme="minorHAnsi" w:cstheme="minorHAnsi"/>
          <w:i/>
        </w:rPr>
        <w:t>J.T</w:t>
      </w:r>
      <w:r w:rsidRPr="00693289">
        <w:rPr>
          <w:rFonts w:asciiTheme="minorHAnsi" w:hAnsiTheme="minorHAnsi" w:cstheme="minorHAnsi"/>
        </w:rPr>
        <w:t>., 2007, p.748.</w:t>
      </w:r>
    </w:p>
  </w:footnote>
  <w:footnote w:id="10">
    <w:p w14:paraId="47A22E1E" w14:textId="77777777" w:rsidR="001165D7" w:rsidRPr="00693289" w:rsidRDefault="001165D7" w:rsidP="00693289">
      <w:pPr>
        <w:pStyle w:val="Notedebasdepage"/>
        <w:jc w:val="both"/>
        <w:rPr>
          <w:rFonts w:asciiTheme="minorHAnsi" w:hAnsiTheme="minorHAnsi" w:cstheme="minorHAnsi"/>
        </w:rPr>
      </w:pPr>
      <w:r w:rsidRPr="00693289">
        <w:rPr>
          <w:rStyle w:val="Appelnotedebasdep"/>
          <w:rFonts w:asciiTheme="minorHAnsi" w:hAnsiTheme="minorHAnsi" w:cstheme="minorHAnsi"/>
        </w:rPr>
        <w:footnoteRef/>
      </w:r>
      <w:r w:rsidRPr="00693289">
        <w:rPr>
          <w:rFonts w:asciiTheme="minorHAnsi" w:hAnsiTheme="minorHAnsi" w:cstheme="minorHAnsi"/>
        </w:rPr>
        <w:t xml:space="preserve"> Article 159 de la Constitution qui dispose : « </w:t>
      </w:r>
      <w:r w:rsidRPr="00693289">
        <w:rPr>
          <w:rFonts w:asciiTheme="minorHAnsi" w:hAnsiTheme="minorHAnsi" w:cstheme="minorHAnsi"/>
          <w:i/>
        </w:rPr>
        <w:t>Les cours et tribunaux n'appliqueront les arrêtés et règlements généraux, provinciaux et locaux, qu'autant qu'ils seront conformes aux lois</w:t>
      </w:r>
      <w:r w:rsidRPr="00693289">
        <w:rPr>
          <w:rFonts w:asciiTheme="minorHAnsi" w:hAnsiTheme="minorHAnsi" w:cstheme="minorHAnsi"/>
        </w:rPr>
        <w:t xml:space="preserve"> ». </w:t>
      </w:r>
    </w:p>
  </w:footnote>
  <w:footnote w:id="11">
    <w:p w14:paraId="33D022E5" w14:textId="77777777" w:rsidR="001165D7" w:rsidRPr="00693289" w:rsidRDefault="001165D7" w:rsidP="00693289">
      <w:pPr>
        <w:pStyle w:val="Notedebasdepage"/>
        <w:jc w:val="both"/>
        <w:rPr>
          <w:rFonts w:asciiTheme="minorHAnsi" w:hAnsiTheme="minorHAnsi" w:cstheme="minorHAnsi"/>
        </w:rPr>
      </w:pPr>
      <w:r w:rsidRPr="00693289">
        <w:rPr>
          <w:rStyle w:val="Appelnotedebasdep"/>
          <w:rFonts w:asciiTheme="minorHAnsi" w:hAnsiTheme="minorHAnsi" w:cstheme="minorHAnsi"/>
        </w:rPr>
        <w:footnoteRef/>
      </w:r>
      <w:r w:rsidRPr="00693289">
        <w:rPr>
          <w:rFonts w:asciiTheme="minorHAnsi" w:hAnsiTheme="minorHAnsi" w:cstheme="minorHAnsi"/>
        </w:rPr>
        <w:t xml:space="preserve"> Pour la période allant du 1er juillet 2020 au 30 juin 2021 inclus, un seuil de rémunération de 10.612 € est prévu par l’article 2, §1er, al. 2 de la loi du 24 février 1978.</w:t>
      </w:r>
    </w:p>
  </w:footnote>
  <w:footnote w:id="12">
    <w:p w14:paraId="52D7778B" w14:textId="77777777" w:rsidR="001165D7" w:rsidRPr="00693289" w:rsidRDefault="001165D7" w:rsidP="00693289">
      <w:pPr>
        <w:pStyle w:val="Notedebasdepage"/>
        <w:jc w:val="both"/>
        <w:rPr>
          <w:rFonts w:asciiTheme="minorHAnsi" w:hAnsiTheme="minorHAnsi" w:cstheme="minorHAnsi"/>
        </w:rPr>
      </w:pPr>
      <w:r w:rsidRPr="00693289">
        <w:rPr>
          <w:rStyle w:val="Appelnotedebasdep"/>
          <w:rFonts w:asciiTheme="minorHAnsi" w:hAnsiTheme="minorHAnsi" w:cstheme="minorHAnsi"/>
        </w:rPr>
        <w:footnoteRef/>
      </w:r>
      <w:r w:rsidRPr="00693289">
        <w:rPr>
          <w:rFonts w:asciiTheme="minorHAnsi" w:hAnsiTheme="minorHAnsi" w:cstheme="minorHAnsi"/>
        </w:rPr>
        <w:t xml:space="preserve"> La section législation du Conseil d’Etat a réitéré son analyse dans son avis préalable rendu au sujet de l’arrêté royal du 19 juin 2015 et qui étend l’application de la loi aux arbitres de basketball.</w:t>
      </w:r>
    </w:p>
  </w:footnote>
  <w:footnote w:id="13">
    <w:p w14:paraId="2F11ECDC" w14:textId="77777777" w:rsidR="001165D7" w:rsidRPr="00693289" w:rsidRDefault="001165D7" w:rsidP="00693289">
      <w:pPr>
        <w:pStyle w:val="Notedebasdepage"/>
        <w:jc w:val="both"/>
        <w:rPr>
          <w:rFonts w:asciiTheme="minorHAnsi" w:hAnsiTheme="minorHAnsi" w:cstheme="minorHAnsi"/>
        </w:rPr>
      </w:pPr>
      <w:r w:rsidRPr="00693289">
        <w:rPr>
          <w:rStyle w:val="Appelnotedebasdep"/>
          <w:rFonts w:asciiTheme="minorHAnsi" w:hAnsiTheme="minorHAnsi" w:cstheme="minorHAnsi"/>
        </w:rPr>
        <w:footnoteRef/>
      </w:r>
      <w:r w:rsidRPr="00693289">
        <w:rPr>
          <w:rFonts w:asciiTheme="minorHAnsi" w:hAnsiTheme="minorHAnsi" w:cstheme="minorHAnsi"/>
        </w:rPr>
        <w:t xml:space="preserve"> Avis du Cons. Et., </w:t>
      </w:r>
      <w:r w:rsidR="009421D5">
        <w:rPr>
          <w:rFonts w:asciiTheme="minorHAnsi" w:hAnsiTheme="minorHAnsi" w:cstheme="minorHAnsi"/>
        </w:rPr>
        <w:t>S</w:t>
      </w:r>
      <w:r w:rsidRPr="00693289">
        <w:rPr>
          <w:rFonts w:asciiTheme="minorHAnsi" w:hAnsiTheme="minorHAnsi" w:cstheme="minorHAnsi"/>
        </w:rPr>
        <w:t>ection législation, n° 51885/1-1/V du 23/08/2012, disponible sur www.raadvst-consetat.be.</w:t>
      </w:r>
    </w:p>
  </w:footnote>
  <w:footnote w:id="14">
    <w:p w14:paraId="5DB873D6" w14:textId="77777777" w:rsidR="001165D7" w:rsidRPr="00693289" w:rsidRDefault="001165D7" w:rsidP="00693289">
      <w:pPr>
        <w:pStyle w:val="Notedebasdepage"/>
        <w:jc w:val="both"/>
        <w:rPr>
          <w:rFonts w:asciiTheme="minorHAnsi" w:hAnsiTheme="minorHAnsi" w:cstheme="minorHAnsi"/>
        </w:rPr>
      </w:pPr>
      <w:r w:rsidRPr="00693289">
        <w:rPr>
          <w:rStyle w:val="Appelnotedebasdep"/>
          <w:rFonts w:asciiTheme="minorHAnsi" w:hAnsiTheme="minorHAnsi" w:cstheme="minorHAnsi"/>
        </w:rPr>
        <w:footnoteRef/>
      </w:r>
      <w:r w:rsidRPr="00693289">
        <w:rPr>
          <w:rFonts w:asciiTheme="minorHAnsi" w:hAnsiTheme="minorHAnsi" w:cstheme="minorHAnsi"/>
        </w:rPr>
        <w:t xml:space="preserve"> </w:t>
      </w:r>
      <w:r w:rsidRPr="00693289">
        <w:rPr>
          <w:rFonts w:asciiTheme="minorHAnsi" w:eastAsiaTheme="minorHAnsi" w:hAnsiTheme="minorHAnsi" w:cstheme="minorHAnsi"/>
          <w:kern w:val="0"/>
          <w:lang w:eastAsia="en-US"/>
        </w:rPr>
        <w:t>C. const., arrêt n° 111/2008, 31 juillet 2008,</w:t>
      </w:r>
      <w:r>
        <w:rPr>
          <w:rFonts w:asciiTheme="minorHAnsi" w:eastAsiaTheme="minorHAnsi" w:hAnsiTheme="minorHAnsi" w:cstheme="minorHAnsi"/>
          <w:kern w:val="0"/>
          <w:lang w:eastAsia="en-US"/>
        </w:rPr>
        <w:t xml:space="preserve"> considérant B.10</w:t>
      </w:r>
      <w:r w:rsidR="009421D5">
        <w:rPr>
          <w:rFonts w:asciiTheme="minorHAnsi" w:eastAsiaTheme="minorHAnsi" w:hAnsiTheme="minorHAnsi" w:cstheme="minorHAnsi"/>
          <w:kern w:val="0"/>
          <w:lang w:eastAsia="en-US"/>
        </w:rPr>
        <w:t>,</w:t>
      </w:r>
      <w:r>
        <w:rPr>
          <w:rFonts w:asciiTheme="minorHAnsi" w:eastAsiaTheme="minorHAnsi" w:hAnsiTheme="minorHAnsi" w:cstheme="minorHAnsi"/>
          <w:kern w:val="0"/>
          <w:lang w:eastAsia="en-US"/>
        </w:rPr>
        <w:t xml:space="preserve"> disponible </w:t>
      </w:r>
      <w:r w:rsidR="009421D5">
        <w:rPr>
          <w:rFonts w:asciiTheme="minorHAnsi" w:eastAsiaTheme="minorHAnsi" w:hAnsiTheme="minorHAnsi" w:cstheme="minorHAnsi"/>
          <w:kern w:val="0"/>
          <w:lang w:eastAsia="en-US"/>
        </w:rPr>
        <w:t xml:space="preserve">sur </w:t>
      </w:r>
      <w:r>
        <w:rPr>
          <w:rFonts w:asciiTheme="minorHAnsi" w:eastAsiaTheme="minorHAnsi" w:hAnsiTheme="minorHAnsi" w:cstheme="minorHAnsi"/>
          <w:kern w:val="0"/>
          <w:lang w:eastAsia="en-US"/>
        </w:rPr>
        <w:t>www.const-court.be.</w:t>
      </w:r>
    </w:p>
  </w:footnote>
  <w:footnote w:id="15">
    <w:p w14:paraId="0840B043" w14:textId="77777777" w:rsidR="001165D7" w:rsidRPr="00693289" w:rsidRDefault="001165D7" w:rsidP="00693289">
      <w:pPr>
        <w:pStyle w:val="Notedebasdepage"/>
        <w:jc w:val="both"/>
        <w:rPr>
          <w:rFonts w:asciiTheme="minorHAnsi" w:hAnsiTheme="minorHAnsi" w:cstheme="minorHAnsi"/>
        </w:rPr>
      </w:pPr>
      <w:r w:rsidRPr="00693289">
        <w:rPr>
          <w:rStyle w:val="Appelnotedebasdep"/>
          <w:rFonts w:asciiTheme="minorHAnsi" w:hAnsiTheme="minorHAnsi" w:cstheme="minorHAnsi"/>
        </w:rPr>
        <w:footnoteRef/>
      </w:r>
      <w:r w:rsidRPr="00693289">
        <w:rPr>
          <w:rFonts w:asciiTheme="minorHAnsi" w:hAnsiTheme="minorHAnsi" w:cstheme="minorHAnsi"/>
        </w:rPr>
        <w:t xml:space="preserve"> Il s’agit alors d’une « </w:t>
      </w:r>
      <w:r w:rsidRPr="00693289">
        <w:rPr>
          <w:rFonts w:asciiTheme="minorHAnsi" w:hAnsiTheme="minorHAnsi" w:cstheme="minorHAnsi"/>
          <w:i/>
        </w:rPr>
        <w:t>lacune intrinsèque auto-réparatrice</w:t>
      </w:r>
      <w:r w:rsidRPr="00693289">
        <w:rPr>
          <w:rFonts w:asciiTheme="minorHAnsi" w:hAnsiTheme="minorHAnsi" w:cstheme="minorHAnsi"/>
        </w:rPr>
        <w:t> » définie comme suit : « Le principal enseignement de cette étude est qu’elle distingue, dans le contentieux de l’égalité et de la non-discrimination, deux types de lacunes : celles qui se trouvent dans la disposition même sur laquelle la Cour est interrogée (lacune intrinsèque ou qualifiée) ; celles qui proviennent, soit d’un « trou » dans l’ordonnancement juridique, soit du silence d’une autre disposition que celle sur laquelle la Cour est interrogée (lacune extrinsèque ou simple) » (Paul MARTENS, Le juge légiférant</w:t>
      </w:r>
      <w:r w:rsidRPr="00E66B20">
        <w:rPr>
          <w:rFonts w:asciiTheme="minorHAnsi" w:hAnsiTheme="minorHAnsi" w:cstheme="minorHAnsi"/>
          <w:i/>
        </w:rPr>
        <w:t>, J.L.M.B</w:t>
      </w:r>
      <w:r w:rsidRPr="00693289">
        <w:rPr>
          <w:rFonts w:asciiTheme="minorHAnsi" w:hAnsiTheme="minorHAnsi" w:cstheme="minorHAnsi"/>
        </w:rPr>
        <w:t>., 12/2012, p. 557 qui cite l’étude de M. Melchior, Président de la Cour constitutionnelle, et C.</w:t>
      </w:r>
      <w:r>
        <w:rPr>
          <w:rFonts w:asciiTheme="minorHAnsi" w:hAnsiTheme="minorHAnsi" w:cstheme="minorHAnsi"/>
        </w:rPr>
        <w:t xml:space="preserve"> </w:t>
      </w:r>
      <w:r w:rsidRPr="00693289">
        <w:rPr>
          <w:rFonts w:asciiTheme="minorHAnsi" w:hAnsiTheme="minorHAnsi" w:cstheme="minorHAnsi"/>
        </w:rPr>
        <w:t xml:space="preserve">Courtoy, référendaire à la Cour constitutionnelle, « L'omission législative ou la lacune dans la jurisprudence constitutionnelle », </w:t>
      </w:r>
      <w:r w:rsidRPr="00693289">
        <w:rPr>
          <w:rFonts w:asciiTheme="minorHAnsi" w:hAnsiTheme="minorHAnsi" w:cstheme="minorHAnsi"/>
          <w:i/>
        </w:rPr>
        <w:t>J.T.,</w:t>
      </w:r>
      <w:r w:rsidRPr="00693289">
        <w:rPr>
          <w:rFonts w:asciiTheme="minorHAnsi" w:hAnsiTheme="minorHAnsi" w:cstheme="minorHAnsi"/>
        </w:rPr>
        <w:t xml:space="preserve"> 2008, n° 3, p.676.).</w:t>
      </w:r>
    </w:p>
  </w:footnote>
  <w:footnote w:id="16">
    <w:p w14:paraId="34B6B3D0" w14:textId="77777777" w:rsidR="001165D7" w:rsidRPr="00693289" w:rsidRDefault="001165D7" w:rsidP="00693289">
      <w:pPr>
        <w:pStyle w:val="Notedebasdepage"/>
        <w:jc w:val="both"/>
        <w:rPr>
          <w:rFonts w:asciiTheme="minorHAnsi" w:hAnsiTheme="minorHAnsi" w:cstheme="minorHAnsi"/>
        </w:rPr>
      </w:pPr>
      <w:r w:rsidRPr="00693289">
        <w:rPr>
          <w:rStyle w:val="Appelnotedebasdep"/>
          <w:rFonts w:asciiTheme="minorHAnsi" w:hAnsiTheme="minorHAnsi" w:cstheme="minorHAnsi"/>
        </w:rPr>
        <w:footnoteRef/>
      </w:r>
      <w:r w:rsidRPr="00693289">
        <w:rPr>
          <w:rFonts w:asciiTheme="minorHAnsi" w:hAnsiTheme="minorHAnsi" w:cstheme="minorHAnsi"/>
        </w:rPr>
        <w:t xml:space="preserve"> C. const., arrêt n°1/2012, 11 janvier 2012, qui consacre le principe de la « </w:t>
      </w:r>
      <w:r w:rsidRPr="00AE075C">
        <w:rPr>
          <w:rFonts w:asciiTheme="minorHAnsi" w:hAnsiTheme="minorHAnsi" w:cstheme="minorHAnsi"/>
          <w:i/>
        </w:rPr>
        <w:t>lacune extrinsèque auto-réparatrice </w:t>
      </w:r>
      <w:r>
        <w:rPr>
          <w:rFonts w:asciiTheme="minorHAnsi" w:hAnsiTheme="minorHAnsi" w:cstheme="minorHAnsi"/>
        </w:rPr>
        <w:t xml:space="preserve">», </w:t>
      </w:r>
      <w:r>
        <w:rPr>
          <w:rFonts w:asciiTheme="minorHAnsi" w:eastAsiaTheme="minorHAnsi" w:hAnsiTheme="minorHAnsi" w:cstheme="minorHAnsi"/>
          <w:kern w:val="0"/>
          <w:lang w:eastAsia="en-US"/>
        </w:rPr>
        <w:t>disponible www.const-court.be.</w:t>
      </w:r>
    </w:p>
  </w:footnote>
  <w:footnote w:id="17">
    <w:p w14:paraId="601CF240" w14:textId="77777777" w:rsidR="001165D7" w:rsidRPr="00693289" w:rsidRDefault="001165D7" w:rsidP="00693289">
      <w:pPr>
        <w:pStyle w:val="Notedebasdepage"/>
        <w:jc w:val="both"/>
        <w:rPr>
          <w:rFonts w:asciiTheme="minorHAnsi" w:hAnsiTheme="minorHAnsi" w:cstheme="minorHAnsi"/>
        </w:rPr>
      </w:pPr>
      <w:r w:rsidRPr="00693289">
        <w:rPr>
          <w:rStyle w:val="Appelnotedebasdep"/>
          <w:rFonts w:asciiTheme="minorHAnsi" w:hAnsiTheme="minorHAnsi" w:cstheme="minorHAnsi"/>
        </w:rPr>
        <w:footnoteRef/>
      </w:r>
      <w:r w:rsidRPr="00693289">
        <w:rPr>
          <w:rFonts w:asciiTheme="minorHAnsi" w:hAnsiTheme="minorHAnsi" w:cstheme="minorHAnsi"/>
        </w:rPr>
        <w:t xml:space="preserve"> Paul MARTENS, Le juge légiférant, </w:t>
      </w:r>
      <w:r w:rsidRPr="00693289">
        <w:rPr>
          <w:rFonts w:asciiTheme="minorHAnsi" w:hAnsiTheme="minorHAnsi" w:cstheme="minorHAnsi"/>
          <w:i/>
        </w:rPr>
        <w:t>J.L.M.B</w:t>
      </w:r>
      <w:r>
        <w:rPr>
          <w:rFonts w:asciiTheme="minorHAnsi" w:hAnsiTheme="minorHAnsi" w:cstheme="minorHAnsi"/>
        </w:rPr>
        <w:t xml:space="preserve">., 12/2012, p. 558 ; voyez également </w:t>
      </w:r>
      <w:r w:rsidRPr="00693289">
        <w:rPr>
          <w:rFonts w:asciiTheme="minorHAnsi" w:hAnsiTheme="minorHAnsi" w:cstheme="minorHAnsi"/>
        </w:rPr>
        <w:t xml:space="preserve">Conclusions de </w:t>
      </w:r>
      <w:r>
        <w:rPr>
          <w:rFonts w:asciiTheme="minorHAnsi" w:hAnsiTheme="minorHAnsi" w:cstheme="minorHAnsi"/>
        </w:rPr>
        <w:t>Monsieur</w:t>
      </w:r>
      <w:r w:rsidRPr="00693289">
        <w:rPr>
          <w:rFonts w:asciiTheme="minorHAnsi" w:hAnsiTheme="minorHAnsi" w:cstheme="minorHAnsi"/>
        </w:rPr>
        <w:t xml:space="preserve"> l’Avocat Général de KOSTER précédant l’arrêt de la Cour de Cassation du 5 novembre 2020, </w:t>
      </w:r>
      <w:r w:rsidRPr="009421D5">
        <w:rPr>
          <w:rFonts w:asciiTheme="minorHAnsi" w:hAnsiTheme="minorHAnsi" w:cstheme="minorHAnsi"/>
          <w:i/>
        </w:rPr>
        <w:t>op. cit</w:t>
      </w:r>
      <w:r w:rsidRPr="00693289">
        <w:rPr>
          <w:rFonts w:asciiTheme="minorHAnsi" w:hAnsiTheme="minorHAnsi" w:cstheme="minorHAnsi"/>
        </w:rPr>
        <w:t>., qui cite Cass. 5 février 2016, RG C.15.0011. F, Pas. 2016, n° 82, avec concl. de M. WERQUIN, avocat général ; Cass. 5 mars 2012, RG S.11.0057.F, Pas. 2012, n° 149 avec concl. de M. GENICOT, avocat général ; Cass. 7 mai 2010, RG C.09.0317.F, Pas. 2010, n° 321.</w:t>
      </w:r>
    </w:p>
  </w:footnote>
  <w:footnote w:id="18">
    <w:p w14:paraId="51866A39" w14:textId="77777777" w:rsidR="001165D7" w:rsidRPr="00693289" w:rsidRDefault="001165D7" w:rsidP="00693289">
      <w:pPr>
        <w:pStyle w:val="Notedebasdepage"/>
        <w:jc w:val="both"/>
        <w:rPr>
          <w:rFonts w:asciiTheme="minorHAnsi" w:hAnsiTheme="minorHAnsi" w:cstheme="minorHAnsi"/>
        </w:rPr>
      </w:pPr>
      <w:r w:rsidRPr="00693289">
        <w:rPr>
          <w:rStyle w:val="Appelnotedebasdep"/>
          <w:rFonts w:asciiTheme="minorHAnsi" w:hAnsiTheme="minorHAnsi" w:cstheme="minorHAnsi"/>
        </w:rPr>
        <w:footnoteRef/>
      </w:r>
      <w:r w:rsidRPr="00693289">
        <w:rPr>
          <w:rFonts w:asciiTheme="minorHAnsi" w:hAnsiTheme="minorHAnsi" w:cstheme="minorHAnsi"/>
        </w:rPr>
        <w:t xml:space="preserve"> Cass. 27 juin 2016, RG n°S.15.0014.N, </w:t>
      </w:r>
      <w:r w:rsidRPr="00693289">
        <w:rPr>
          <w:rFonts w:asciiTheme="minorHAnsi" w:hAnsiTheme="minorHAnsi" w:cstheme="minorHAnsi"/>
          <w:i/>
        </w:rPr>
        <w:t>Pas.,</w:t>
      </w:r>
      <w:r w:rsidRPr="00693289">
        <w:rPr>
          <w:rFonts w:asciiTheme="minorHAnsi" w:hAnsiTheme="minorHAnsi" w:cstheme="minorHAnsi"/>
        </w:rPr>
        <w:t xml:space="preserve"> 2016, n°422 ; voyez aussi Cass. 17 mars 2003, RG n°S.02.0022.N, </w:t>
      </w:r>
      <w:r w:rsidRPr="00693289">
        <w:rPr>
          <w:rFonts w:asciiTheme="minorHAnsi" w:hAnsiTheme="minorHAnsi" w:cstheme="minorHAnsi"/>
          <w:i/>
        </w:rPr>
        <w:t>Pas</w:t>
      </w:r>
      <w:r w:rsidRPr="00693289">
        <w:rPr>
          <w:rFonts w:asciiTheme="minorHAnsi" w:hAnsiTheme="minorHAnsi" w:cstheme="minorHAnsi"/>
        </w:rPr>
        <w:t>., 2003, n° 171 ; Cass. 15 décembre 2003</w:t>
      </w:r>
      <w:r w:rsidRPr="00693289">
        <w:rPr>
          <w:rFonts w:asciiTheme="minorHAnsi" w:hAnsiTheme="minorHAnsi" w:cstheme="minorHAnsi"/>
          <w:i/>
        </w:rPr>
        <w:t>, R.W.,</w:t>
      </w:r>
      <w:r w:rsidRPr="00693289">
        <w:rPr>
          <w:rFonts w:asciiTheme="minorHAnsi" w:hAnsiTheme="minorHAnsi" w:cstheme="minorHAnsi"/>
        </w:rPr>
        <w:t xml:space="preserve"> 2004-2005, p. 979.</w:t>
      </w:r>
    </w:p>
  </w:footnote>
  <w:footnote w:id="19">
    <w:p w14:paraId="2CA5F8E8" w14:textId="77777777" w:rsidR="001165D7" w:rsidRPr="00693289" w:rsidRDefault="001165D7" w:rsidP="00693289">
      <w:pPr>
        <w:pStyle w:val="Notedebasdepage"/>
        <w:jc w:val="both"/>
        <w:rPr>
          <w:rFonts w:asciiTheme="minorHAnsi" w:hAnsiTheme="minorHAnsi" w:cstheme="minorHAnsi"/>
        </w:rPr>
      </w:pPr>
      <w:r w:rsidRPr="00693289">
        <w:rPr>
          <w:rStyle w:val="Appelnotedebasdep"/>
          <w:rFonts w:asciiTheme="minorHAnsi" w:hAnsiTheme="minorHAnsi" w:cstheme="minorHAnsi"/>
        </w:rPr>
        <w:footnoteRef/>
      </w:r>
      <w:r w:rsidRPr="00693289">
        <w:rPr>
          <w:rFonts w:asciiTheme="minorHAnsi" w:hAnsiTheme="minorHAnsi" w:cstheme="minorHAnsi"/>
        </w:rPr>
        <w:t xml:space="preserve"> Conclusions de </w:t>
      </w:r>
      <w:r>
        <w:rPr>
          <w:rFonts w:asciiTheme="minorHAnsi" w:hAnsiTheme="minorHAnsi" w:cstheme="minorHAnsi"/>
        </w:rPr>
        <w:t>Monsieur</w:t>
      </w:r>
      <w:r w:rsidRPr="00693289">
        <w:rPr>
          <w:rFonts w:asciiTheme="minorHAnsi" w:hAnsiTheme="minorHAnsi" w:cstheme="minorHAnsi"/>
        </w:rPr>
        <w:t xml:space="preserve"> l’Avocat Général de KOSTER précédant l’arrêt de la Cour de Cassation du 5 novembre 2020 précité, disponible sur www.juportal.be.</w:t>
      </w:r>
    </w:p>
  </w:footnote>
  <w:footnote w:id="20">
    <w:p w14:paraId="764A9AD8" w14:textId="77777777" w:rsidR="001165D7" w:rsidRPr="00693289" w:rsidRDefault="001165D7" w:rsidP="00693289">
      <w:pPr>
        <w:pStyle w:val="Notedebasdepage"/>
        <w:jc w:val="both"/>
        <w:rPr>
          <w:rFonts w:asciiTheme="minorHAnsi" w:hAnsiTheme="minorHAnsi" w:cstheme="minorHAnsi"/>
        </w:rPr>
      </w:pPr>
      <w:r w:rsidRPr="00693289">
        <w:rPr>
          <w:rStyle w:val="Appelnotedebasdep"/>
          <w:rFonts w:asciiTheme="minorHAnsi" w:hAnsiTheme="minorHAnsi" w:cstheme="minorHAnsi"/>
        </w:rPr>
        <w:footnoteRef/>
      </w:r>
      <w:r w:rsidRPr="00693289">
        <w:rPr>
          <w:rFonts w:asciiTheme="minorHAnsi" w:hAnsiTheme="minorHAnsi" w:cstheme="minorHAnsi"/>
        </w:rPr>
        <w:t xml:space="preserve"> Voyez notamment D. DE ROY, « L’exception d’illégalité instituée par l’article 159 de la Constitution : de la vision d’apocalypse à la juste mesure ? », </w:t>
      </w:r>
      <w:r w:rsidRPr="00693289">
        <w:rPr>
          <w:rFonts w:asciiTheme="minorHAnsi" w:hAnsiTheme="minorHAnsi" w:cstheme="minorHAnsi"/>
          <w:i/>
        </w:rPr>
        <w:t>RCJB</w:t>
      </w:r>
      <w:r w:rsidRPr="00693289">
        <w:rPr>
          <w:rFonts w:asciiTheme="minorHAnsi" w:hAnsiTheme="minorHAnsi" w:cstheme="minorHAnsi"/>
        </w:rPr>
        <w:t xml:space="preserve">, 2009, p. 58 ; M.-F. RIGAUX Du bon usage de l’article 159 de la Constitution, Actualités et perspectives de l’exception d’illégalité pour violation du principe d’égalité et de non-discrimination, </w:t>
      </w:r>
      <w:r w:rsidRPr="00693289">
        <w:rPr>
          <w:rFonts w:asciiTheme="minorHAnsi" w:hAnsiTheme="minorHAnsi" w:cstheme="minorHAnsi"/>
          <w:i/>
        </w:rPr>
        <w:t>J.T</w:t>
      </w:r>
      <w:r w:rsidRPr="00693289">
        <w:rPr>
          <w:rFonts w:asciiTheme="minorHAnsi" w:hAnsiTheme="minorHAnsi" w:cstheme="minorHAnsi"/>
        </w:rPr>
        <w:t>., 2021, pp. 105-110.</w:t>
      </w:r>
    </w:p>
  </w:footnote>
  <w:footnote w:id="21">
    <w:p w14:paraId="27234403" w14:textId="77777777" w:rsidR="001165D7" w:rsidRPr="00693289" w:rsidRDefault="001165D7" w:rsidP="00693289">
      <w:pPr>
        <w:pStyle w:val="Notedebasdepage"/>
        <w:jc w:val="both"/>
        <w:rPr>
          <w:rFonts w:asciiTheme="minorHAnsi" w:hAnsiTheme="minorHAnsi" w:cstheme="minorHAnsi"/>
        </w:rPr>
      </w:pPr>
      <w:r w:rsidRPr="00693289">
        <w:rPr>
          <w:rStyle w:val="Appelnotedebasdep"/>
          <w:rFonts w:asciiTheme="minorHAnsi" w:hAnsiTheme="minorHAnsi" w:cstheme="minorHAnsi"/>
        </w:rPr>
        <w:footnoteRef/>
      </w:r>
      <w:r w:rsidRPr="00693289">
        <w:rPr>
          <w:rFonts w:asciiTheme="minorHAnsi" w:hAnsiTheme="minorHAnsi" w:cstheme="minorHAnsi"/>
        </w:rPr>
        <w:t xml:space="preserve"> Conclusions de </w:t>
      </w:r>
      <w:r>
        <w:rPr>
          <w:rFonts w:asciiTheme="minorHAnsi" w:hAnsiTheme="minorHAnsi" w:cstheme="minorHAnsi"/>
        </w:rPr>
        <w:t>Monsieur</w:t>
      </w:r>
      <w:r w:rsidRPr="00693289">
        <w:rPr>
          <w:rFonts w:asciiTheme="minorHAnsi" w:hAnsiTheme="minorHAnsi" w:cstheme="minorHAnsi"/>
        </w:rPr>
        <w:t xml:space="preserve"> l’Avocat Général de KOSTER précédant l’arrêt de la Cour de Cassation du 5 novembre 2020 précité, disponible sur www.juportal.be.</w:t>
      </w:r>
    </w:p>
  </w:footnote>
  <w:footnote w:id="22">
    <w:p w14:paraId="0EF4DE2A" w14:textId="77777777" w:rsidR="001165D7" w:rsidRPr="00693289" w:rsidRDefault="001165D7" w:rsidP="00693289">
      <w:pPr>
        <w:pStyle w:val="Notedebasdepage"/>
        <w:jc w:val="both"/>
        <w:rPr>
          <w:rFonts w:asciiTheme="minorHAnsi" w:hAnsiTheme="minorHAnsi" w:cstheme="minorHAnsi"/>
        </w:rPr>
      </w:pPr>
      <w:r w:rsidRPr="00693289">
        <w:rPr>
          <w:rStyle w:val="Appelnotedebasdep"/>
          <w:rFonts w:asciiTheme="minorHAnsi" w:hAnsiTheme="minorHAnsi" w:cstheme="minorHAnsi"/>
        </w:rPr>
        <w:footnoteRef/>
      </w:r>
      <w:r w:rsidRPr="00693289">
        <w:rPr>
          <w:rFonts w:asciiTheme="minorHAnsi" w:hAnsiTheme="minorHAnsi" w:cstheme="minorHAnsi"/>
        </w:rPr>
        <w:t xml:space="preserve"> </w:t>
      </w:r>
      <w:r w:rsidRPr="00693289">
        <w:rPr>
          <w:rFonts w:asciiTheme="minorHAnsi" w:eastAsiaTheme="minorHAnsi" w:hAnsiTheme="minorHAnsi" w:cstheme="minorHAnsi"/>
          <w:kern w:val="0"/>
          <w:lang w:eastAsia="en-US"/>
        </w:rPr>
        <w:t>C. const., arrêt n° 111/2008 du 31</w:t>
      </w:r>
      <w:r>
        <w:rPr>
          <w:rFonts w:asciiTheme="minorHAnsi" w:eastAsiaTheme="minorHAnsi" w:hAnsiTheme="minorHAnsi" w:cstheme="minorHAnsi"/>
          <w:kern w:val="0"/>
          <w:lang w:eastAsia="en-US"/>
        </w:rPr>
        <w:t xml:space="preserve"> juillet 2008. Considérant B.10, disponible www.const-court.be.</w:t>
      </w:r>
    </w:p>
  </w:footnote>
  <w:footnote w:id="23">
    <w:p w14:paraId="62FBB823" w14:textId="77777777" w:rsidR="001165D7" w:rsidRPr="00693289" w:rsidRDefault="001165D7" w:rsidP="00693289">
      <w:pPr>
        <w:pStyle w:val="Notedebasdepage"/>
        <w:jc w:val="both"/>
        <w:rPr>
          <w:rFonts w:asciiTheme="minorHAnsi" w:hAnsiTheme="minorHAnsi" w:cstheme="minorHAnsi"/>
        </w:rPr>
      </w:pPr>
      <w:r w:rsidRPr="00693289">
        <w:rPr>
          <w:rStyle w:val="Appelnotedebasdep"/>
          <w:rFonts w:asciiTheme="minorHAnsi" w:hAnsiTheme="minorHAnsi" w:cstheme="minorHAnsi"/>
        </w:rPr>
        <w:footnoteRef/>
      </w:r>
      <w:r w:rsidRPr="00693289">
        <w:rPr>
          <w:rFonts w:asciiTheme="minorHAnsi" w:hAnsiTheme="minorHAnsi" w:cstheme="minorHAnsi"/>
        </w:rPr>
        <w:t xml:space="preserve"> L’article 1</w:t>
      </w:r>
      <w:r w:rsidRPr="00693289">
        <w:rPr>
          <w:rFonts w:asciiTheme="minorHAnsi" w:hAnsiTheme="minorHAnsi" w:cstheme="minorHAnsi"/>
          <w:vertAlign w:val="superscript"/>
        </w:rPr>
        <w:t>er</w:t>
      </w:r>
      <w:r w:rsidRPr="00693289">
        <w:rPr>
          <w:rFonts w:asciiTheme="minorHAnsi" w:hAnsiTheme="minorHAnsi" w:cstheme="minorHAnsi"/>
        </w:rPr>
        <w:t>, §1</w:t>
      </w:r>
      <w:r w:rsidRPr="00693289">
        <w:rPr>
          <w:rFonts w:asciiTheme="minorHAnsi" w:hAnsiTheme="minorHAnsi" w:cstheme="minorHAnsi"/>
          <w:vertAlign w:val="superscript"/>
        </w:rPr>
        <w:t>er</w:t>
      </w:r>
      <w:r w:rsidRPr="00693289">
        <w:rPr>
          <w:rFonts w:asciiTheme="minorHAnsi" w:hAnsiTheme="minorHAnsi" w:cstheme="minorHAnsi"/>
        </w:rPr>
        <w:t xml:space="preserve"> de l’arrêté royal du 13 novembre 2012 exclut l’application de l’article 5, al. 2 de la loi du 24 février 1978.</w:t>
      </w:r>
    </w:p>
  </w:footnote>
  <w:footnote w:id="24">
    <w:p w14:paraId="6DD41079" w14:textId="77777777" w:rsidR="001165D7" w:rsidRPr="00693289" w:rsidRDefault="001165D7" w:rsidP="00693289">
      <w:pPr>
        <w:pStyle w:val="Notedebasdepage"/>
        <w:jc w:val="both"/>
        <w:rPr>
          <w:rFonts w:asciiTheme="minorHAnsi" w:hAnsiTheme="minorHAnsi" w:cstheme="minorHAnsi"/>
        </w:rPr>
      </w:pPr>
      <w:r w:rsidRPr="00693289">
        <w:rPr>
          <w:rStyle w:val="Appelnotedebasdep"/>
          <w:rFonts w:asciiTheme="minorHAnsi" w:hAnsiTheme="minorHAnsi" w:cstheme="minorHAnsi"/>
        </w:rPr>
        <w:footnoteRef/>
      </w:r>
      <w:r w:rsidRPr="00693289">
        <w:rPr>
          <w:rFonts w:asciiTheme="minorHAnsi" w:hAnsiTheme="minorHAnsi" w:cstheme="minorHAnsi"/>
        </w:rPr>
        <w:t xml:space="preserve"> </w:t>
      </w:r>
      <w:r w:rsidRPr="00693289">
        <w:rPr>
          <w:rFonts w:asciiTheme="minorHAnsi" w:hAnsiTheme="minorHAnsi" w:cstheme="minorHAnsi"/>
          <w:lang w:val="fr-FR"/>
        </w:rPr>
        <w:t xml:space="preserve">L. DEAR, « Le statut social du dirigeant d’entreprise », </w:t>
      </w:r>
      <w:r w:rsidRPr="00693289">
        <w:rPr>
          <w:rFonts w:asciiTheme="minorHAnsi" w:hAnsiTheme="minorHAnsi" w:cstheme="minorHAnsi"/>
          <w:i/>
          <w:lang w:val="fr-FR"/>
        </w:rPr>
        <w:t>J.T.T</w:t>
      </w:r>
      <w:r w:rsidRPr="00693289">
        <w:rPr>
          <w:rFonts w:asciiTheme="minorHAnsi" w:hAnsiTheme="minorHAnsi" w:cstheme="minorHAnsi"/>
          <w:lang w:val="fr-FR"/>
        </w:rPr>
        <w:t>., 2013, n°1167, p.377.</w:t>
      </w:r>
    </w:p>
  </w:footnote>
  <w:footnote w:id="25">
    <w:p w14:paraId="7B88D229" w14:textId="77777777" w:rsidR="001165D7" w:rsidRPr="00693289" w:rsidRDefault="001165D7" w:rsidP="00693289">
      <w:pPr>
        <w:pStyle w:val="Notedebasdepage"/>
        <w:jc w:val="both"/>
        <w:rPr>
          <w:rFonts w:asciiTheme="minorHAnsi" w:hAnsiTheme="minorHAnsi" w:cstheme="minorHAnsi"/>
        </w:rPr>
      </w:pPr>
      <w:r w:rsidRPr="00693289">
        <w:rPr>
          <w:rStyle w:val="Appelnotedebasdep"/>
          <w:rFonts w:asciiTheme="minorHAnsi" w:hAnsiTheme="minorHAnsi" w:cstheme="minorHAnsi"/>
        </w:rPr>
        <w:footnoteRef/>
      </w:r>
      <w:r w:rsidRPr="00693289">
        <w:rPr>
          <w:rFonts w:asciiTheme="minorHAnsi" w:hAnsiTheme="minorHAnsi" w:cstheme="minorHAnsi"/>
        </w:rPr>
        <w:t xml:space="preserve"> Voyez notamment </w:t>
      </w:r>
      <w:r w:rsidRPr="00693289">
        <w:rPr>
          <w:rFonts w:asciiTheme="minorHAnsi" w:hAnsiTheme="minorHAnsi" w:cstheme="minorHAnsi"/>
          <w:lang w:val="fr-FR"/>
        </w:rPr>
        <w:t xml:space="preserve">Cass., 23 décembre 2002, </w:t>
      </w:r>
      <w:r w:rsidRPr="00693289">
        <w:rPr>
          <w:rFonts w:asciiTheme="minorHAnsi" w:hAnsiTheme="minorHAnsi" w:cstheme="minorHAnsi"/>
          <w:i/>
          <w:lang w:val="fr-FR"/>
        </w:rPr>
        <w:t>J.T.T.,</w:t>
      </w:r>
      <w:r w:rsidRPr="00693289">
        <w:rPr>
          <w:rFonts w:asciiTheme="minorHAnsi" w:hAnsiTheme="minorHAnsi" w:cstheme="minorHAnsi"/>
          <w:lang w:val="fr-FR"/>
        </w:rPr>
        <w:t xml:space="preserve"> 2003, p. 271 ; Cass., 28 avril 2003, R.G. n°S.01.0184.F, </w:t>
      </w:r>
      <w:r w:rsidRPr="00693289">
        <w:rPr>
          <w:rFonts w:asciiTheme="minorHAnsi" w:hAnsiTheme="minorHAnsi" w:cstheme="minorHAnsi"/>
          <w:i/>
          <w:lang w:val="fr-FR"/>
        </w:rPr>
        <w:t>J.T.T.,</w:t>
      </w:r>
      <w:r w:rsidRPr="00693289">
        <w:rPr>
          <w:rFonts w:asciiTheme="minorHAnsi" w:hAnsiTheme="minorHAnsi" w:cstheme="minorHAnsi"/>
          <w:lang w:val="fr-FR"/>
        </w:rPr>
        <w:t xml:space="preserve"> 2003, p. 261 et Cass. 23.03.2009, R.G. n° S.08.0136.F, </w:t>
      </w:r>
      <w:r w:rsidR="00A31E37">
        <w:rPr>
          <w:rFonts w:asciiTheme="minorHAnsi" w:hAnsiTheme="minorHAnsi" w:cstheme="minorHAnsi"/>
          <w:lang w:val="fr-FR"/>
        </w:rPr>
        <w:t xml:space="preserve">disponible sur </w:t>
      </w:r>
      <w:r w:rsidRPr="00693289">
        <w:rPr>
          <w:rStyle w:val="Lienhypertexte"/>
          <w:rFonts w:asciiTheme="minorHAnsi" w:hAnsiTheme="minorHAnsi" w:cstheme="minorHAnsi"/>
          <w:color w:val="auto"/>
          <w:u w:val="none"/>
          <w:lang w:val="fr-FR"/>
        </w:rPr>
        <w:t>www.juportal.be.</w:t>
      </w:r>
      <w:r w:rsidRPr="00693289">
        <w:rPr>
          <w:rFonts w:asciiTheme="minorHAnsi" w:hAnsiTheme="minorHAnsi" w:cstheme="minorHAnsi"/>
        </w:rPr>
        <w:t xml:space="preserve"> </w:t>
      </w:r>
    </w:p>
  </w:footnote>
  <w:footnote w:id="26">
    <w:p w14:paraId="4AF377CA" w14:textId="77777777" w:rsidR="001165D7" w:rsidRPr="00693289" w:rsidRDefault="001165D7" w:rsidP="00693289">
      <w:pPr>
        <w:tabs>
          <w:tab w:val="left" w:pos="-2834"/>
          <w:tab w:val="left" w:pos="-2114"/>
          <w:tab w:val="left" w:pos="-1394"/>
          <w:tab w:val="left" w:pos="1432"/>
        </w:tabs>
        <w:autoSpaceDE w:val="0"/>
        <w:adjustRightInd w:val="0"/>
        <w:spacing w:line="240" w:lineRule="atLeast"/>
        <w:ind w:right="1"/>
        <w:jc w:val="both"/>
        <w:rPr>
          <w:rFonts w:asciiTheme="minorHAnsi" w:hAnsiTheme="minorHAnsi" w:cstheme="minorHAnsi"/>
          <w:sz w:val="20"/>
          <w:szCs w:val="20"/>
          <w:lang w:val="fr-FR"/>
        </w:rPr>
      </w:pPr>
      <w:r w:rsidRPr="00693289">
        <w:rPr>
          <w:rStyle w:val="Appelnotedebasdep"/>
          <w:rFonts w:asciiTheme="minorHAnsi" w:hAnsiTheme="minorHAnsi" w:cstheme="minorHAnsi"/>
          <w:sz w:val="20"/>
          <w:szCs w:val="20"/>
        </w:rPr>
        <w:footnoteRef/>
      </w:r>
      <w:r w:rsidRPr="00693289">
        <w:rPr>
          <w:rFonts w:asciiTheme="minorHAnsi" w:hAnsiTheme="minorHAnsi" w:cstheme="minorHAnsi"/>
          <w:sz w:val="20"/>
          <w:szCs w:val="20"/>
        </w:rPr>
        <w:t xml:space="preserve"> A</w:t>
      </w:r>
      <w:r w:rsidRPr="00693289">
        <w:rPr>
          <w:rFonts w:asciiTheme="minorHAnsi" w:hAnsiTheme="minorHAnsi" w:cstheme="minorHAnsi"/>
          <w:sz w:val="20"/>
          <w:szCs w:val="20"/>
          <w:lang w:val="fr-FR"/>
        </w:rPr>
        <w:t>rticle 331 de la loi-programme I du 27.12.2006.</w:t>
      </w:r>
    </w:p>
  </w:footnote>
  <w:footnote w:id="27">
    <w:p w14:paraId="794754D3" w14:textId="77777777" w:rsidR="001165D7" w:rsidRPr="00693289" w:rsidRDefault="001165D7" w:rsidP="00693289">
      <w:pPr>
        <w:pStyle w:val="Notedebasdepage"/>
        <w:jc w:val="both"/>
        <w:rPr>
          <w:rFonts w:asciiTheme="minorHAnsi" w:hAnsiTheme="minorHAnsi" w:cstheme="minorHAnsi"/>
        </w:rPr>
      </w:pPr>
      <w:r w:rsidRPr="00693289">
        <w:rPr>
          <w:rStyle w:val="Appelnotedebasdep"/>
          <w:rFonts w:asciiTheme="minorHAnsi" w:hAnsiTheme="minorHAnsi" w:cstheme="minorHAnsi"/>
        </w:rPr>
        <w:footnoteRef/>
      </w:r>
      <w:r w:rsidRPr="00693289">
        <w:rPr>
          <w:rFonts w:asciiTheme="minorHAnsi" w:hAnsiTheme="minorHAnsi" w:cstheme="minorHAnsi"/>
        </w:rPr>
        <w:t xml:space="preserve"> A</w:t>
      </w:r>
      <w:r w:rsidRPr="00693289">
        <w:rPr>
          <w:rFonts w:asciiTheme="minorHAnsi" w:hAnsiTheme="minorHAnsi" w:cstheme="minorHAnsi"/>
          <w:lang w:val="fr-FR"/>
        </w:rPr>
        <w:t>rticle 332 de la loi-programme I du 27.12.2006.</w:t>
      </w:r>
    </w:p>
  </w:footnote>
  <w:footnote w:id="28">
    <w:p w14:paraId="408E17B1" w14:textId="77777777" w:rsidR="001165D7" w:rsidRPr="00693289" w:rsidRDefault="001165D7" w:rsidP="00693289">
      <w:pPr>
        <w:pStyle w:val="Notedebasdepage"/>
        <w:jc w:val="both"/>
        <w:rPr>
          <w:rFonts w:asciiTheme="minorHAnsi" w:hAnsiTheme="minorHAnsi" w:cstheme="minorHAnsi"/>
        </w:rPr>
      </w:pPr>
      <w:r w:rsidRPr="00693289">
        <w:rPr>
          <w:rStyle w:val="Appelnotedebasdep"/>
          <w:rFonts w:asciiTheme="minorHAnsi" w:hAnsiTheme="minorHAnsi" w:cstheme="minorHAnsi"/>
        </w:rPr>
        <w:footnoteRef/>
      </w:r>
      <w:r w:rsidRPr="00693289">
        <w:rPr>
          <w:rFonts w:asciiTheme="minorHAnsi" w:hAnsiTheme="minorHAnsi" w:cstheme="minorHAnsi"/>
        </w:rPr>
        <w:t xml:space="preserve"> Article 333 </w:t>
      </w:r>
      <w:r w:rsidRPr="00693289">
        <w:rPr>
          <w:rFonts w:asciiTheme="minorHAnsi" w:hAnsiTheme="minorHAnsi" w:cstheme="minorHAnsi"/>
          <w:lang w:val="fr-FR"/>
        </w:rPr>
        <w:t>de la loi-programme I du 27.12.2006.</w:t>
      </w:r>
    </w:p>
  </w:footnote>
  <w:footnote w:id="29">
    <w:p w14:paraId="262FB0A7" w14:textId="77777777" w:rsidR="001165D7" w:rsidRPr="00693289" w:rsidRDefault="001165D7" w:rsidP="00693289">
      <w:pPr>
        <w:pStyle w:val="Notedebasdepage"/>
        <w:jc w:val="both"/>
        <w:rPr>
          <w:rFonts w:asciiTheme="minorHAnsi" w:hAnsiTheme="minorHAnsi" w:cstheme="minorHAnsi"/>
        </w:rPr>
      </w:pPr>
      <w:r w:rsidRPr="00693289">
        <w:rPr>
          <w:rStyle w:val="Appelnotedebasdep"/>
          <w:rFonts w:asciiTheme="minorHAnsi" w:hAnsiTheme="minorHAnsi" w:cstheme="minorHAnsi"/>
        </w:rPr>
        <w:footnoteRef/>
      </w:r>
      <w:r w:rsidRPr="00693289">
        <w:rPr>
          <w:rFonts w:asciiTheme="minorHAnsi" w:hAnsiTheme="minorHAnsi" w:cstheme="minorHAnsi"/>
        </w:rPr>
        <w:t xml:space="preserve"> Article 23, alinéa 1er  de la loi du 12 avril 1965 concernant la protection de la rémunération.</w:t>
      </w:r>
    </w:p>
  </w:footnote>
  <w:footnote w:id="30">
    <w:p w14:paraId="0E98B7DC" w14:textId="77777777" w:rsidR="001165D7" w:rsidRPr="000F1C8A" w:rsidRDefault="001165D7" w:rsidP="00C469B9">
      <w:pPr>
        <w:pStyle w:val="Notedebasdepage"/>
        <w:jc w:val="both"/>
        <w:rPr>
          <w:rFonts w:ascii="Calibri" w:hAnsi="Calibri" w:cs="Calibri"/>
        </w:rPr>
      </w:pPr>
      <w:r w:rsidRPr="000F1C8A">
        <w:rPr>
          <w:rStyle w:val="Appelnotedebasdep"/>
          <w:rFonts w:ascii="Calibri" w:hAnsi="Calibri" w:cs="Calibri"/>
        </w:rPr>
        <w:footnoteRef/>
      </w:r>
      <w:r w:rsidRPr="000F1C8A">
        <w:rPr>
          <w:rFonts w:ascii="Calibri" w:hAnsi="Calibri" w:cs="Calibri"/>
        </w:rPr>
        <w:t xml:space="preserve"> C. trav. Liège, 9 octobre 2015, R.G. n°2015/AL/46, disponible sur www.terralaboris.be. </w:t>
      </w:r>
    </w:p>
  </w:footnote>
  <w:footnote w:id="31">
    <w:p w14:paraId="13D22773" w14:textId="77777777" w:rsidR="001165D7" w:rsidRPr="000F1C8A" w:rsidRDefault="001165D7" w:rsidP="00C129FD">
      <w:pPr>
        <w:pStyle w:val="Notedebasdepage"/>
        <w:jc w:val="both"/>
        <w:rPr>
          <w:rFonts w:ascii="Calibri" w:hAnsi="Calibri" w:cs="Calibri"/>
          <w:lang w:val="nl-NL"/>
        </w:rPr>
      </w:pPr>
      <w:r w:rsidRPr="000F1C8A">
        <w:rPr>
          <w:rStyle w:val="Appelnotedebasdep"/>
          <w:rFonts w:ascii="Calibri" w:hAnsi="Calibri" w:cs="Calibri"/>
        </w:rPr>
        <w:footnoteRef/>
      </w:r>
      <w:r w:rsidRPr="000F1C8A">
        <w:rPr>
          <w:rFonts w:ascii="Calibri" w:hAnsi="Calibri" w:cs="Calibri"/>
          <w:lang w:val="nl-NL"/>
        </w:rPr>
        <w:t xml:space="preserve"> F. BLOMME, « De bewijslast bij de vordering van overuren », </w:t>
      </w:r>
      <w:r w:rsidRPr="000F1C8A">
        <w:rPr>
          <w:rFonts w:ascii="Calibri" w:hAnsi="Calibri" w:cs="Calibri"/>
          <w:i/>
          <w:lang w:val="nl-NL"/>
        </w:rPr>
        <w:t>Oriëntatie</w:t>
      </w:r>
      <w:r>
        <w:rPr>
          <w:rFonts w:ascii="Calibri" w:hAnsi="Calibri" w:cs="Calibri"/>
          <w:lang w:val="nl-NL"/>
        </w:rPr>
        <w:t xml:space="preserve">, Kluwer, 2018/3, p.55 et </w:t>
      </w:r>
      <w:r w:rsidRPr="000F1C8A">
        <w:rPr>
          <w:rFonts w:ascii="Calibri" w:hAnsi="Calibri" w:cs="Calibri"/>
          <w:lang w:val="nl-NL"/>
        </w:rPr>
        <w:t>p.67.</w:t>
      </w:r>
    </w:p>
  </w:footnote>
  <w:footnote w:id="32">
    <w:p w14:paraId="004026EC" w14:textId="77777777" w:rsidR="001165D7" w:rsidRPr="00693289" w:rsidRDefault="001165D7" w:rsidP="00693289">
      <w:pPr>
        <w:pStyle w:val="Notedebasdepage"/>
        <w:jc w:val="both"/>
        <w:rPr>
          <w:rFonts w:asciiTheme="minorHAnsi" w:hAnsiTheme="minorHAnsi" w:cstheme="minorHAnsi"/>
        </w:rPr>
      </w:pPr>
      <w:r w:rsidRPr="00693289">
        <w:rPr>
          <w:rStyle w:val="Appelnotedebasdep"/>
          <w:rFonts w:asciiTheme="minorHAnsi" w:hAnsiTheme="minorHAnsi" w:cstheme="minorHAnsi"/>
        </w:rPr>
        <w:footnoteRef/>
      </w:r>
      <w:r w:rsidRPr="00693289">
        <w:rPr>
          <w:rFonts w:asciiTheme="minorHAnsi" w:hAnsiTheme="minorHAnsi" w:cstheme="minorHAnsi"/>
        </w:rPr>
        <w:t xml:space="preserve"> Voyez notamment Trib. trav. Hainaut, 18 septembre 2018, R.G. 17/775/A, disponible sur le site </w:t>
      </w:r>
      <w:hyperlink r:id="rId1" w:history="1">
        <w:r w:rsidRPr="00693289">
          <w:rPr>
            <w:rStyle w:val="Lienhypertexte"/>
            <w:rFonts w:asciiTheme="minorHAnsi" w:hAnsiTheme="minorHAnsi" w:cstheme="minorHAnsi"/>
            <w:color w:val="auto"/>
            <w:u w:val="none"/>
          </w:rPr>
          <w:t>www.terralaboris.be</w:t>
        </w:r>
      </w:hyperlink>
      <w:r w:rsidRPr="00693289">
        <w:rPr>
          <w:rFonts w:asciiTheme="minorHAnsi" w:hAnsiTheme="minorHAnsi" w:cstheme="minorHAnsi"/>
        </w:rPr>
        <w:t xml:space="preserve">. Dans le même sens, voyez également Trib. trav. Liège, 21 mars 2016 R.G. n°14/1188/A, inédit. </w:t>
      </w:r>
    </w:p>
  </w:footnote>
  <w:footnote w:id="33">
    <w:p w14:paraId="3821CB6E" w14:textId="77777777" w:rsidR="001165D7" w:rsidRPr="00693289" w:rsidRDefault="001165D7" w:rsidP="00693289">
      <w:pPr>
        <w:pStyle w:val="Notedebasdepage"/>
        <w:jc w:val="both"/>
        <w:rPr>
          <w:rFonts w:asciiTheme="minorHAnsi" w:hAnsiTheme="minorHAnsi" w:cstheme="minorHAnsi"/>
        </w:rPr>
      </w:pPr>
      <w:r w:rsidRPr="00693289">
        <w:rPr>
          <w:rStyle w:val="Appelnotedebasdep"/>
          <w:rFonts w:asciiTheme="minorHAnsi" w:hAnsiTheme="minorHAnsi" w:cstheme="minorHAnsi"/>
        </w:rPr>
        <w:footnoteRef/>
      </w:r>
      <w:r w:rsidRPr="00693289">
        <w:rPr>
          <w:rFonts w:asciiTheme="minorHAnsi" w:hAnsiTheme="minorHAnsi" w:cstheme="minorHAnsi"/>
        </w:rPr>
        <w:t xml:space="preserve"> V. VANNES, La convention collective de travail n° 109 du 12 février 2014 concernant la motivation du licenciement. La question du motif valable et raisonnable de congé, </w:t>
      </w:r>
      <w:r w:rsidRPr="00693289">
        <w:rPr>
          <w:rFonts w:asciiTheme="minorHAnsi" w:hAnsiTheme="minorHAnsi" w:cstheme="minorHAnsi"/>
          <w:i/>
        </w:rPr>
        <w:t>Ors</w:t>
      </w:r>
      <w:r w:rsidRPr="00693289">
        <w:rPr>
          <w:rFonts w:asciiTheme="minorHAnsi" w:hAnsiTheme="minorHAnsi" w:cstheme="minorHAnsi"/>
        </w:rPr>
        <w:t>., 2019/10, pp. 14, 15&amp;24.</w:t>
      </w:r>
    </w:p>
  </w:footnote>
  <w:footnote w:id="34">
    <w:p w14:paraId="03860E70" w14:textId="77777777" w:rsidR="001165D7" w:rsidRPr="00693289" w:rsidRDefault="001165D7" w:rsidP="00693289">
      <w:pPr>
        <w:pStyle w:val="Notedebasdepage"/>
        <w:jc w:val="both"/>
        <w:rPr>
          <w:rFonts w:asciiTheme="minorHAnsi" w:hAnsiTheme="minorHAnsi" w:cstheme="minorHAnsi"/>
        </w:rPr>
      </w:pPr>
      <w:r w:rsidRPr="00693289">
        <w:rPr>
          <w:rStyle w:val="Appelnotedebasdep"/>
          <w:rFonts w:asciiTheme="minorHAnsi" w:hAnsiTheme="minorHAnsi" w:cstheme="minorHAnsi"/>
        </w:rPr>
        <w:footnoteRef/>
      </w:r>
      <w:r w:rsidRPr="00693289">
        <w:rPr>
          <w:rFonts w:asciiTheme="minorHAnsi" w:hAnsiTheme="minorHAnsi" w:cstheme="minorHAnsi"/>
        </w:rPr>
        <w:t xml:space="preserve"> </w:t>
      </w:r>
      <w:r w:rsidRPr="00F6216E">
        <w:rPr>
          <w:rFonts w:asciiTheme="minorHAnsi" w:hAnsiTheme="minorHAnsi" w:cstheme="minorHAnsi"/>
          <w:i/>
        </w:rPr>
        <w:t>Ibidem</w:t>
      </w:r>
      <w:r w:rsidRPr="00693289">
        <w:rPr>
          <w:rFonts w:asciiTheme="minorHAnsi" w:hAnsiTheme="minorHAnsi" w:cstheme="minorHAnsi"/>
        </w:rPr>
        <w:t>, p. 20.</w:t>
      </w:r>
    </w:p>
  </w:footnote>
  <w:footnote w:id="35">
    <w:p w14:paraId="48E48786" w14:textId="77777777" w:rsidR="00B67AA7" w:rsidRPr="0083325E" w:rsidRDefault="00B67AA7" w:rsidP="00B67AA7">
      <w:pPr>
        <w:pStyle w:val="Notedebasdepage"/>
        <w:jc w:val="both"/>
        <w:rPr>
          <w:rFonts w:ascii="Calibri" w:hAnsi="Calibri" w:cs="Calibri"/>
          <w:i/>
        </w:rPr>
      </w:pPr>
      <w:r w:rsidRPr="0083325E">
        <w:rPr>
          <w:rStyle w:val="Appelnotedebasdep"/>
          <w:rFonts w:ascii="Calibri" w:hAnsi="Calibri" w:cs="Calibri"/>
        </w:rPr>
        <w:footnoteRef/>
      </w:r>
      <w:r w:rsidRPr="0083325E">
        <w:rPr>
          <w:rFonts w:ascii="Calibri" w:hAnsi="Calibri" w:cs="Calibri"/>
        </w:rPr>
        <w:t xml:space="preserve"> Les Cours du travail de Liège et Bruxelles se sont prononcés dans ce sens. La Cour du travail de Liège a ainsi décidé : « </w:t>
      </w:r>
      <w:r w:rsidRPr="0083325E">
        <w:rPr>
          <w:rFonts w:ascii="Calibri" w:hAnsi="Calibri" w:cs="Calibri"/>
          <w:i/>
        </w:rPr>
        <w:t>Conformément au prescrit de l’article 137, §1er, 1° de l’arrêté royal du 25 novembre 1991 portant réglementation du chômage, l’employeur a l’obligation de délivrer le C.4 au plus tard le dernier jour de travail.</w:t>
      </w:r>
    </w:p>
    <w:p w14:paraId="022FF94C" w14:textId="77777777" w:rsidR="00B67AA7" w:rsidRPr="0083325E" w:rsidRDefault="00B67AA7" w:rsidP="00B67AA7">
      <w:pPr>
        <w:pStyle w:val="Notedebasdepage"/>
        <w:jc w:val="both"/>
        <w:rPr>
          <w:rFonts w:ascii="Calibri" w:hAnsi="Calibri" w:cs="Calibri"/>
        </w:rPr>
      </w:pPr>
      <w:r w:rsidRPr="0083325E">
        <w:rPr>
          <w:rFonts w:ascii="Calibri" w:hAnsi="Calibri" w:cs="Calibri"/>
          <w:i/>
        </w:rPr>
        <w:t>Lorsque l’employeur a satisfait à cette obligation même avec retard, il ne peut être exigé de lui qu’il modifie le C.4 délivré. Il appartient au travailleur licencié et qui entend solliciter le bénéfice des allocations de chômage d’introduire une demande d’allocations au moyen du C.4 délivré et, le cas échéant, de signaler l’existence</w:t>
      </w:r>
      <w:r w:rsidRPr="0083325E">
        <w:rPr>
          <w:rFonts w:ascii="Calibri" w:hAnsi="Calibri" w:cs="Calibri"/>
        </w:rPr>
        <w:t xml:space="preserve"> d’une </w:t>
      </w:r>
      <w:r w:rsidRPr="0083325E">
        <w:rPr>
          <w:rFonts w:ascii="Calibri" w:hAnsi="Calibri" w:cs="Calibri"/>
          <w:i/>
        </w:rPr>
        <w:t>erreur ou l’introduction par lui d’une action en vue d’obtenir par exemple une indemnité compensatoire de préavis ou une indemnité pour abus de droit de licenciement</w:t>
      </w:r>
      <w:r w:rsidRPr="0083325E">
        <w:rPr>
          <w:rFonts w:ascii="Calibri" w:hAnsi="Calibri" w:cs="Calibri"/>
        </w:rPr>
        <w:t xml:space="preserve">. » (C. trav. Liège, 23.06.2009, R.G. n°8.670/08, disponible sur le site </w:t>
      </w:r>
      <w:hyperlink r:id="rId2" w:history="1">
        <w:r w:rsidRPr="00EA1B4E">
          <w:rPr>
            <w:rStyle w:val="Lienhypertexte"/>
            <w:rFonts w:ascii="Calibri" w:hAnsi="Calibri" w:cs="Calibri"/>
            <w:color w:val="auto"/>
            <w:u w:val="none"/>
          </w:rPr>
          <w:t>www.juportal.be</w:t>
        </w:r>
      </w:hyperlink>
      <w:r w:rsidRPr="0083325E">
        <w:rPr>
          <w:rFonts w:ascii="Calibri" w:hAnsi="Calibri" w:cs="Calibri"/>
        </w:rPr>
        <w:t>). Dans le même sens, C. trav. Brux., 5 octobre 2011, R.G. 2011/AB/668, disponible sur le site www.terralaboris.be.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45" w:type="dxa"/>
      <w:tblLayout w:type="fixed"/>
      <w:tblCellMar>
        <w:left w:w="10" w:type="dxa"/>
        <w:right w:w="10" w:type="dxa"/>
      </w:tblCellMar>
      <w:tblLook w:val="0000" w:firstRow="0" w:lastRow="0" w:firstColumn="0" w:lastColumn="0" w:noHBand="0" w:noVBand="0"/>
    </w:tblPr>
    <w:tblGrid>
      <w:gridCol w:w="3201"/>
      <w:gridCol w:w="3200"/>
      <w:gridCol w:w="3200"/>
    </w:tblGrid>
    <w:tr w:rsidR="001165D7" w:rsidRPr="00E92C6E" w14:paraId="1B09DF7C" w14:textId="77777777">
      <w:tc>
        <w:tcPr>
          <w:tcW w:w="3200" w:type="dxa"/>
          <w:tcMar>
            <w:top w:w="55" w:type="dxa"/>
            <w:left w:w="55" w:type="dxa"/>
            <w:bottom w:w="55" w:type="dxa"/>
            <w:right w:w="55" w:type="dxa"/>
          </w:tcMar>
        </w:tcPr>
        <w:p w14:paraId="3185C2B8" w14:textId="77777777" w:rsidR="001165D7" w:rsidRPr="00E92C6E" w:rsidRDefault="001165D7">
          <w:pPr>
            <w:pStyle w:val="En-tte"/>
            <w:rPr>
              <w:rFonts w:asciiTheme="minorHAnsi" w:hAnsiTheme="minorHAnsi" w:cstheme="minorHAnsi"/>
              <w:b/>
              <w:bCs/>
              <w:sz w:val="22"/>
              <w:szCs w:val="22"/>
              <w:lang w:val="nl-BE"/>
            </w:rPr>
          </w:pPr>
          <w:r w:rsidRPr="00E92C6E">
            <w:rPr>
              <w:rFonts w:asciiTheme="minorHAnsi" w:hAnsiTheme="minorHAnsi" w:cstheme="minorHAnsi"/>
              <w:b/>
              <w:bCs/>
              <w:sz w:val="22"/>
              <w:szCs w:val="22"/>
              <w:lang w:val="nl-BE"/>
            </w:rPr>
            <w:t>R.G. : 20/ 3516/ A</w:t>
          </w:r>
        </w:p>
      </w:tc>
      <w:tc>
        <w:tcPr>
          <w:tcW w:w="3200" w:type="dxa"/>
          <w:tcMar>
            <w:top w:w="55" w:type="dxa"/>
            <w:left w:w="55" w:type="dxa"/>
            <w:bottom w:w="55" w:type="dxa"/>
            <w:right w:w="55" w:type="dxa"/>
          </w:tcMar>
        </w:tcPr>
        <w:p w14:paraId="738BD632" w14:textId="77777777" w:rsidR="001165D7" w:rsidRPr="00852979" w:rsidRDefault="001165D7">
          <w:pPr>
            <w:pStyle w:val="TableContents"/>
            <w:jc w:val="center"/>
            <w:rPr>
              <w:rFonts w:asciiTheme="minorHAnsi" w:hAnsiTheme="minorHAnsi" w:cstheme="minorHAnsi"/>
              <w:b/>
              <w:bCs/>
              <w:sz w:val="22"/>
              <w:szCs w:val="22"/>
              <w:lang w:val="nl-BE"/>
            </w:rPr>
          </w:pPr>
          <w:r>
            <w:rPr>
              <w:rFonts w:asciiTheme="minorHAnsi" w:hAnsiTheme="minorHAnsi" w:cstheme="minorHAnsi"/>
              <w:b/>
              <w:bCs/>
              <w:sz w:val="22"/>
              <w:szCs w:val="22"/>
              <w:lang w:val="nl-BE"/>
            </w:rPr>
            <w:t>Répertoire: 2022/</w:t>
          </w:r>
        </w:p>
      </w:tc>
      <w:tc>
        <w:tcPr>
          <w:tcW w:w="3200" w:type="dxa"/>
          <w:tcMar>
            <w:top w:w="55" w:type="dxa"/>
            <w:left w:w="55" w:type="dxa"/>
            <w:bottom w:w="55" w:type="dxa"/>
            <w:right w:w="55" w:type="dxa"/>
          </w:tcMar>
        </w:tcPr>
        <w:p w14:paraId="56A535B2" w14:textId="77777777" w:rsidR="001165D7" w:rsidRPr="00E92C6E" w:rsidRDefault="001165D7" w:rsidP="00193F9B">
          <w:pPr>
            <w:pStyle w:val="TableContents"/>
            <w:tabs>
              <w:tab w:val="left" w:pos="1492"/>
            </w:tabs>
            <w:jc w:val="center"/>
            <w:rPr>
              <w:rFonts w:asciiTheme="minorHAnsi" w:hAnsiTheme="minorHAnsi" w:cstheme="minorHAnsi"/>
              <w:b/>
              <w:bCs/>
              <w:sz w:val="22"/>
              <w:szCs w:val="22"/>
            </w:rPr>
          </w:pPr>
          <w:r w:rsidRPr="00E92C6E">
            <w:rPr>
              <w:rFonts w:asciiTheme="minorHAnsi" w:hAnsiTheme="minorHAnsi" w:cstheme="minorHAnsi"/>
              <w:b/>
              <w:bCs/>
              <w:sz w:val="22"/>
              <w:szCs w:val="22"/>
            </w:rPr>
            <w:fldChar w:fldCharType="begin"/>
          </w:r>
          <w:r w:rsidRPr="00E92C6E">
            <w:rPr>
              <w:rFonts w:asciiTheme="minorHAnsi" w:hAnsiTheme="minorHAnsi" w:cstheme="minorHAnsi"/>
              <w:b/>
              <w:bCs/>
              <w:sz w:val="22"/>
              <w:szCs w:val="22"/>
            </w:rPr>
            <w:instrText xml:space="preserve"> PAGE </w:instrText>
          </w:r>
          <w:r w:rsidRPr="00E92C6E">
            <w:rPr>
              <w:rFonts w:asciiTheme="minorHAnsi" w:hAnsiTheme="minorHAnsi" w:cstheme="minorHAnsi"/>
              <w:b/>
              <w:bCs/>
              <w:sz w:val="22"/>
              <w:szCs w:val="22"/>
            </w:rPr>
            <w:fldChar w:fldCharType="separate"/>
          </w:r>
          <w:r w:rsidR="00EA1B4E">
            <w:rPr>
              <w:rFonts w:asciiTheme="minorHAnsi" w:hAnsiTheme="minorHAnsi" w:cstheme="minorHAnsi"/>
              <w:b/>
              <w:bCs/>
              <w:noProof/>
              <w:sz w:val="22"/>
              <w:szCs w:val="22"/>
            </w:rPr>
            <w:t>22</w:t>
          </w:r>
          <w:r w:rsidRPr="00E92C6E">
            <w:rPr>
              <w:rFonts w:asciiTheme="minorHAnsi" w:hAnsiTheme="minorHAnsi" w:cstheme="minorHAnsi"/>
              <w:b/>
              <w:bCs/>
              <w:sz w:val="22"/>
              <w:szCs w:val="22"/>
            </w:rPr>
            <w:fldChar w:fldCharType="end"/>
          </w:r>
          <w:r>
            <w:rPr>
              <w:rFonts w:asciiTheme="minorHAnsi" w:hAnsiTheme="minorHAnsi" w:cstheme="minorHAnsi"/>
              <w:b/>
              <w:bCs/>
              <w:sz w:val="22"/>
              <w:szCs w:val="22"/>
            </w:rPr>
            <w:t>/</w:t>
          </w:r>
          <w:r>
            <w:rPr>
              <w:rFonts w:asciiTheme="minorHAnsi" w:hAnsiTheme="minorHAnsi" w:cstheme="minorHAnsi"/>
              <w:b/>
              <w:bCs/>
              <w:sz w:val="22"/>
              <w:szCs w:val="22"/>
            </w:rPr>
            <w:fldChar w:fldCharType="begin"/>
          </w:r>
          <w:r>
            <w:rPr>
              <w:rFonts w:asciiTheme="minorHAnsi" w:hAnsiTheme="minorHAnsi" w:cstheme="minorHAnsi"/>
              <w:b/>
              <w:bCs/>
              <w:sz w:val="22"/>
              <w:szCs w:val="22"/>
            </w:rPr>
            <w:instrText xml:space="preserve"> NUMPAGES  \* Arabic  \* MERGEFORMAT </w:instrText>
          </w:r>
          <w:r>
            <w:rPr>
              <w:rFonts w:asciiTheme="minorHAnsi" w:hAnsiTheme="minorHAnsi" w:cstheme="minorHAnsi"/>
              <w:b/>
              <w:bCs/>
              <w:sz w:val="22"/>
              <w:szCs w:val="22"/>
            </w:rPr>
            <w:fldChar w:fldCharType="separate"/>
          </w:r>
          <w:r w:rsidR="00EA1B4E">
            <w:rPr>
              <w:rFonts w:asciiTheme="minorHAnsi" w:hAnsiTheme="minorHAnsi" w:cstheme="minorHAnsi"/>
              <w:b/>
              <w:bCs/>
              <w:noProof/>
              <w:sz w:val="22"/>
              <w:szCs w:val="22"/>
            </w:rPr>
            <w:t>24</w:t>
          </w:r>
          <w:r>
            <w:rPr>
              <w:rFonts w:asciiTheme="minorHAnsi" w:hAnsiTheme="minorHAnsi" w:cstheme="minorHAnsi"/>
              <w:b/>
              <w:bCs/>
              <w:sz w:val="22"/>
              <w:szCs w:val="22"/>
            </w:rPr>
            <w:fldChar w:fldCharType="end"/>
          </w:r>
        </w:p>
      </w:tc>
    </w:tr>
  </w:tbl>
  <w:p w14:paraId="64CF4826" w14:textId="77777777" w:rsidR="001165D7" w:rsidRDefault="001165D7">
    <w:pPr>
      <w:pStyle w:val="En-tte"/>
      <w:pBdr>
        <w:bottom w:val="single" w:sz="6" w:space="1" w:color="auto"/>
      </w:pBdr>
    </w:pPr>
  </w:p>
  <w:p w14:paraId="7F0FCB2B" w14:textId="77777777" w:rsidR="001165D7" w:rsidRDefault="001165D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45" w:type="dxa"/>
      <w:tblLayout w:type="fixed"/>
      <w:tblCellMar>
        <w:left w:w="10" w:type="dxa"/>
        <w:right w:w="10" w:type="dxa"/>
      </w:tblCellMar>
      <w:tblLook w:val="0000" w:firstRow="0" w:lastRow="0" w:firstColumn="0" w:lastColumn="0" w:noHBand="0" w:noVBand="0"/>
    </w:tblPr>
    <w:tblGrid>
      <w:gridCol w:w="3201"/>
      <w:gridCol w:w="3200"/>
      <w:gridCol w:w="3200"/>
    </w:tblGrid>
    <w:tr w:rsidR="001165D7" w:rsidRPr="005644A1" w14:paraId="53668174" w14:textId="77777777" w:rsidTr="0023498F">
      <w:tc>
        <w:tcPr>
          <w:tcW w:w="3200" w:type="dxa"/>
          <w:tcMar>
            <w:top w:w="55" w:type="dxa"/>
            <w:left w:w="55" w:type="dxa"/>
            <w:bottom w:w="55" w:type="dxa"/>
            <w:right w:w="55" w:type="dxa"/>
          </w:tcMar>
        </w:tcPr>
        <w:p w14:paraId="34424C18" w14:textId="77777777" w:rsidR="001165D7" w:rsidRPr="005644A1" w:rsidRDefault="001165D7" w:rsidP="004A669F">
          <w:pPr>
            <w:pStyle w:val="En-tte"/>
            <w:rPr>
              <w:rFonts w:ascii="Calibri" w:hAnsi="Calibri" w:cs="Calibri"/>
              <w:b/>
              <w:bCs/>
              <w:sz w:val="22"/>
              <w:szCs w:val="22"/>
              <w:lang w:val="nl-BE"/>
            </w:rPr>
          </w:pPr>
          <w:r w:rsidRPr="005644A1">
            <w:rPr>
              <w:rFonts w:ascii="Calibri" w:hAnsi="Calibri" w:cs="Calibri"/>
              <w:b/>
              <w:bCs/>
              <w:sz w:val="22"/>
              <w:szCs w:val="22"/>
              <w:lang w:val="nl-BE"/>
            </w:rPr>
            <w:t>R.G. : 20/ 3516/ A</w:t>
          </w:r>
        </w:p>
      </w:tc>
      <w:tc>
        <w:tcPr>
          <w:tcW w:w="3200" w:type="dxa"/>
          <w:tcMar>
            <w:top w:w="55" w:type="dxa"/>
            <w:left w:w="55" w:type="dxa"/>
            <w:bottom w:w="55" w:type="dxa"/>
            <w:right w:w="55" w:type="dxa"/>
          </w:tcMar>
        </w:tcPr>
        <w:p w14:paraId="6E6E057D" w14:textId="77777777" w:rsidR="001165D7" w:rsidRPr="005644A1" w:rsidRDefault="001165D7" w:rsidP="004A669F">
          <w:pPr>
            <w:pStyle w:val="TableContents"/>
            <w:jc w:val="center"/>
            <w:rPr>
              <w:rFonts w:ascii="Calibri" w:hAnsi="Calibri" w:cs="Calibri"/>
              <w:b/>
              <w:bCs/>
              <w:sz w:val="22"/>
              <w:szCs w:val="22"/>
            </w:rPr>
          </w:pPr>
          <w:proofErr w:type="spellStart"/>
          <w:r w:rsidRPr="005644A1">
            <w:rPr>
              <w:rFonts w:ascii="Calibri" w:hAnsi="Calibri" w:cs="Calibri"/>
              <w:b/>
              <w:bCs/>
              <w:sz w:val="22"/>
              <w:szCs w:val="22"/>
            </w:rPr>
            <w:t>Rép</w:t>
          </w:r>
          <w:proofErr w:type="spellEnd"/>
          <w:r w:rsidRPr="005644A1">
            <w:rPr>
              <w:rFonts w:ascii="Calibri" w:hAnsi="Calibri" w:cs="Calibri"/>
              <w:b/>
              <w:bCs/>
              <w:sz w:val="22"/>
              <w:szCs w:val="22"/>
            </w:rPr>
            <w:t> : 21/</w:t>
          </w:r>
        </w:p>
      </w:tc>
      <w:tc>
        <w:tcPr>
          <w:tcW w:w="3200" w:type="dxa"/>
          <w:tcMar>
            <w:top w:w="55" w:type="dxa"/>
            <w:left w:w="55" w:type="dxa"/>
            <w:bottom w:w="55" w:type="dxa"/>
            <w:right w:w="55" w:type="dxa"/>
          </w:tcMar>
        </w:tcPr>
        <w:p w14:paraId="0DD58546" w14:textId="77777777" w:rsidR="001165D7" w:rsidRPr="005644A1" w:rsidRDefault="001165D7" w:rsidP="004A669F">
          <w:pPr>
            <w:pStyle w:val="TableContents"/>
            <w:tabs>
              <w:tab w:val="left" w:pos="1492"/>
            </w:tabs>
            <w:jc w:val="center"/>
            <w:rPr>
              <w:rFonts w:ascii="Calibri" w:hAnsi="Calibri" w:cs="Calibri"/>
              <w:b/>
              <w:bCs/>
              <w:sz w:val="22"/>
              <w:szCs w:val="22"/>
            </w:rPr>
          </w:pPr>
          <w:r w:rsidRPr="005644A1">
            <w:rPr>
              <w:rFonts w:ascii="Calibri" w:hAnsi="Calibri" w:cs="Calibri"/>
              <w:b/>
              <w:bCs/>
              <w:sz w:val="22"/>
              <w:szCs w:val="22"/>
            </w:rPr>
            <w:fldChar w:fldCharType="begin"/>
          </w:r>
          <w:r w:rsidRPr="005644A1">
            <w:rPr>
              <w:rFonts w:ascii="Calibri" w:hAnsi="Calibri" w:cs="Calibri"/>
              <w:b/>
              <w:bCs/>
              <w:sz w:val="22"/>
              <w:szCs w:val="22"/>
            </w:rPr>
            <w:instrText xml:space="preserve"> PAGE </w:instrText>
          </w:r>
          <w:r w:rsidRPr="005644A1">
            <w:rPr>
              <w:rFonts w:ascii="Calibri" w:hAnsi="Calibri" w:cs="Calibri"/>
              <w:b/>
              <w:bCs/>
              <w:sz w:val="22"/>
              <w:szCs w:val="22"/>
            </w:rPr>
            <w:fldChar w:fldCharType="separate"/>
          </w:r>
          <w:r>
            <w:rPr>
              <w:rFonts w:ascii="Calibri" w:hAnsi="Calibri" w:cs="Calibri"/>
              <w:b/>
              <w:bCs/>
              <w:noProof/>
              <w:sz w:val="22"/>
              <w:szCs w:val="22"/>
            </w:rPr>
            <w:t>1</w:t>
          </w:r>
          <w:r w:rsidRPr="005644A1">
            <w:rPr>
              <w:rFonts w:ascii="Calibri" w:hAnsi="Calibri" w:cs="Calibri"/>
              <w:b/>
              <w:bCs/>
              <w:sz w:val="22"/>
              <w:szCs w:val="22"/>
            </w:rPr>
            <w:fldChar w:fldCharType="end"/>
          </w:r>
          <w:r w:rsidRPr="005644A1">
            <w:rPr>
              <w:rFonts w:ascii="Calibri" w:hAnsi="Calibri" w:cs="Calibri"/>
              <w:b/>
              <w:bCs/>
              <w:sz w:val="22"/>
              <w:szCs w:val="22"/>
            </w:rPr>
            <w:t>/</w:t>
          </w:r>
          <w:r w:rsidRPr="005644A1">
            <w:rPr>
              <w:rFonts w:ascii="Calibri" w:hAnsi="Calibri" w:cs="Calibri"/>
              <w:b/>
              <w:bCs/>
              <w:sz w:val="22"/>
              <w:szCs w:val="22"/>
            </w:rPr>
            <w:fldChar w:fldCharType="begin"/>
          </w:r>
          <w:r w:rsidRPr="005644A1">
            <w:rPr>
              <w:rFonts w:ascii="Calibri" w:hAnsi="Calibri" w:cs="Calibri"/>
              <w:b/>
              <w:bCs/>
              <w:sz w:val="22"/>
              <w:szCs w:val="22"/>
            </w:rPr>
            <w:instrText xml:space="preserve"> NUMPAGES  \* Arabic  \* MERGEFORMAT </w:instrText>
          </w:r>
          <w:r w:rsidRPr="005644A1">
            <w:rPr>
              <w:rFonts w:ascii="Calibri" w:hAnsi="Calibri" w:cs="Calibri"/>
              <w:b/>
              <w:bCs/>
              <w:sz w:val="22"/>
              <w:szCs w:val="22"/>
            </w:rPr>
            <w:fldChar w:fldCharType="separate"/>
          </w:r>
          <w:r w:rsidR="00B44084">
            <w:rPr>
              <w:rFonts w:ascii="Calibri" w:hAnsi="Calibri" w:cs="Calibri"/>
              <w:b/>
              <w:bCs/>
              <w:noProof/>
              <w:sz w:val="22"/>
              <w:szCs w:val="22"/>
            </w:rPr>
            <w:t>24</w:t>
          </w:r>
          <w:r w:rsidRPr="005644A1">
            <w:rPr>
              <w:rFonts w:ascii="Calibri" w:hAnsi="Calibri" w:cs="Calibri"/>
              <w:b/>
              <w:bCs/>
              <w:sz w:val="22"/>
              <w:szCs w:val="22"/>
            </w:rPr>
            <w:fldChar w:fldCharType="end"/>
          </w:r>
        </w:p>
      </w:tc>
    </w:tr>
  </w:tbl>
  <w:p w14:paraId="1E8133BB" w14:textId="77777777" w:rsidR="001165D7" w:rsidRDefault="001165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5CB"/>
    <w:multiLevelType w:val="hybridMultilevel"/>
    <w:tmpl w:val="3FB45AA6"/>
    <w:lvl w:ilvl="0" w:tplc="FD92698E">
      <w:start w:val="1"/>
      <w:numFmt w:val="lowerLetter"/>
      <w:lvlText w:val="%1)"/>
      <w:lvlJc w:val="left"/>
      <w:pPr>
        <w:ind w:left="1068" w:hanging="360"/>
      </w:pPr>
      <w:rPr>
        <w:rFonts w:asciiTheme="minorHAnsi" w:eastAsia="Arial" w:hAnsiTheme="minorHAnsi" w:cstheme="minorHAnsi"/>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 w15:restartNumberingAfterBreak="0">
    <w:nsid w:val="029715B6"/>
    <w:multiLevelType w:val="hybridMultilevel"/>
    <w:tmpl w:val="4B60181A"/>
    <w:lvl w:ilvl="0" w:tplc="0FC09832">
      <w:start w:val="1"/>
      <w:numFmt w:val="decimal"/>
      <w:lvlText w:val="%1)"/>
      <w:lvlJc w:val="left"/>
      <w:pPr>
        <w:tabs>
          <w:tab w:val="num" w:pos="737"/>
        </w:tabs>
        <w:ind w:left="737" w:hanging="73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22830D6"/>
    <w:multiLevelType w:val="hybridMultilevel"/>
    <w:tmpl w:val="70D653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BF35CB6"/>
    <w:multiLevelType w:val="hybridMultilevel"/>
    <w:tmpl w:val="A70C1B30"/>
    <w:lvl w:ilvl="0" w:tplc="83D62A86">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4" w15:restartNumberingAfterBreak="0">
    <w:nsid w:val="1C1C0C7D"/>
    <w:multiLevelType w:val="hybridMultilevel"/>
    <w:tmpl w:val="84786388"/>
    <w:lvl w:ilvl="0" w:tplc="B6C09466">
      <w:start w:val="1"/>
      <w:numFmt w:val="bullet"/>
      <w:lvlText w:val="-"/>
      <w:lvlJc w:val="left"/>
      <w:pPr>
        <w:ind w:left="720" w:hanging="360"/>
      </w:pPr>
      <w:rPr>
        <w:rFonts w:ascii="Calibri" w:eastAsia="Arial"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7580546"/>
    <w:multiLevelType w:val="hybridMultilevel"/>
    <w:tmpl w:val="E0AEF4E6"/>
    <w:lvl w:ilvl="0" w:tplc="342CF3DA">
      <w:numFmt w:val="bullet"/>
      <w:lvlText w:val="-"/>
      <w:lvlJc w:val="left"/>
      <w:pPr>
        <w:tabs>
          <w:tab w:val="num" w:pos="720"/>
        </w:tabs>
        <w:ind w:left="720" w:hanging="360"/>
      </w:pPr>
      <w:rPr>
        <w:rFonts w:ascii="Arial" w:eastAsia="Times New Roman" w:hAnsi="Arial" w:cs="Arial" w:hint="default"/>
        <w:b/>
        <w:lang w:val="fr-FR"/>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D4C7E"/>
    <w:multiLevelType w:val="multilevel"/>
    <w:tmpl w:val="6F0A4614"/>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82361F3"/>
    <w:multiLevelType w:val="multilevel"/>
    <w:tmpl w:val="D2EA1388"/>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8" w15:restartNumberingAfterBreak="0">
    <w:nsid w:val="38F253D0"/>
    <w:multiLevelType w:val="hybridMultilevel"/>
    <w:tmpl w:val="572A4A56"/>
    <w:lvl w:ilvl="0" w:tplc="BE369A6A">
      <w:start w:val="2"/>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FB2D99"/>
    <w:multiLevelType w:val="hybridMultilevel"/>
    <w:tmpl w:val="0388D4B4"/>
    <w:lvl w:ilvl="0" w:tplc="FF980DB4">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626B5BA5"/>
    <w:multiLevelType w:val="multilevel"/>
    <w:tmpl w:val="2AC2C75E"/>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7666E8A"/>
    <w:multiLevelType w:val="hybridMultilevel"/>
    <w:tmpl w:val="FA1EE6BA"/>
    <w:lvl w:ilvl="0" w:tplc="CCB825F0">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2A3EF97E">
      <w:start w:val="5"/>
      <w:numFmt w:val="bullet"/>
      <w:lvlText w:val=""/>
      <w:lvlJc w:val="left"/>
      <w:pPr>
        <w:ind w:left="2160" w:hanging="360"/>
      </w:pPr>
      <w:rPr>
        <w:rFonts w:ascii="Wingdings" w:eastAsia="Times New Roman"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DF67C3"/>
    <w:multiLevelType w:val="hybridMultilevel"/>
    <w:tmpl w:val="C2085F76"/>
    <w:lvl w:ilvl="0" w:tplc="08090001">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13" w15:restartNumberingAfterBreak="0">
    <w:nsid w:val="6CE306F8"/>
    <w:multiLevelType w:val="hybridMultilevel"/>
    <w:tmpl w:val="354616F4"/>
    <w:lvl w:ilvl="0" w:tplc="08090001">
      <w:start w:val="1"/>
      <w:numFmt w:val="bullet"/>
      <w:lvlText w:val=""/>
      <w:lvlJc w:val="left"/>
      <w:pPr>
        <w:ind w:left="773" w:hanging="360"/>
      </w:pPr>
      <w:rPr>
        <w:rFonts w:ascii="Symbol" w:hAnsi="Symbol" w:hint="default"/>
      </w:rPr>
    </w:lvl>
    <w:lvl w:ilvl="1" w:tplc="080C0003" w:tentative="1">
      <w:start w:val="1"/>
      <w:numFmt w:val="bullet"/>
      <w:lvlText w:val="o"/>
      <w:lvlJc w:val="left"/>
      <w:pPr>
        <w:ind w:left="1493" w:hanging="360"/>
      </w:pPr>
      <w:rPr>
        <w:rFonts w:ascii="Courier New" w:hAnsi="Courier New" w:cs="Courier New" w:hint="default"/>
      </w:rPr>
    </w:lvl>
    <w:lvl w:ilvl="2" w:tplc="080C0005" w:tentative="1">
      <w:start w:val="1"/>
      <w:numFmt w:val="bullet"/>
      <w:lvlText w:val=""/>
      <w:lvlJc w:val="left"/>
      <w:pPr>
        <w:ind w:left="2213" w:hanging="360"/>
      </w:pPr>
      <w:rPr>
        <w:rFonts w:ascii="Wingdings" w:hAnsi="Wingdings" w:hint="default"/>
      </w:rPr>
    </w:lvl>
    <w:lvl w:ilvl="3" w:tplc="080C0001" w:tentative="1">
      <w:start w:val="1"/>
      <w:numFmt w:val="bullet"/>
      <w:lvlText w:val=""/>
      <w:lvlJc w:val="left"/>
      <w:pPr>
        <w:ind w:left="2933" w:hanging="360"/>
      </w:pPr>
      <w:rPr>
        <w:rFonts w:ascii="Symbol" w:hAnsi="Symbol" w:hint="default"/>
      </w:rPr>
    </w:lvl>
    <w:lvl w:ilvl="4" w:tplc="080C0003" w:tentative="1">
      <w:start w:val="1"/>
      <w:numFmt w:val="bullet"/>
      <w:lvlText w:val="o"/>
      <w:lvlJc w:val="left"/>
      <w:pPr>
        <w:ind w:left="3653" w:hanging="360"/>
      </w:pPr>
      <w:rPr>
        <w:rFonts w:ascii="Courier New" w:hAnsi="Courier New" w:cs="Courier New" w:hint="default"/>
      </w:rPr>
    </w:lvl>
    <w:lvl w:ilvl="5" w:tplc="080C0005" w:tentative="1">
      <w:start w:val="1"/>
      <w:numFmt w:val="bullet"/>
      <w:lvlText w:val=""/>
      <w:lvlJc w:val="left"/>
      <w:pPr>
        <w:ind w:left="4373" w:hanging="360"/>
      </w:pPr>
      <w:rPr>
        <w:rFonts w:ascii="Wingdings" w:hAnsi="Wingdings" w:hint="default"/>
      </w:rPr>
    </w:lvl>
    <w:lvl w:ilvl="6" w:tplc="080C0001" w:tentative="1">
      <w:start w:val="1"/>
      <w:numFmt w:val="bullet"/>
      <w:lvlText w:val=""/>
      <w:lvlJc w:val="left"/>
      <w:pPr>
        <w:ind w:left="5093" w:hanging="360"/>
      </w:pPr>
      <w:rPr>
        <w:rFonts w:ascii="Symbol" w:hAnsi="Symbol" w:hint="default"/>
      </w:rPr>
    </w:lvl>
    <w:lvl w:ilvl="7" w:tplc="080C0003" w:tentative="1">
      <w:start w:val="1"/>
      <w:numFmt w:val="bullet"/>
      <w:lvlText w:val="o"/>
      <w:lvlJc w:val="left"/>
      <w:pPr>
        <w:ind w:left="5813" w:hanging="360"/>
      </w:pPr>
      <w:rPr>
        <w:rFonts w:ascii="Courier New" w:hAnsi="Courier New" w:cs="Courier New" w:hint="default"/>
      </w:rPr>
    </w:lvl>
    <w:lvl w:ilvl="8" w:tplc="080C0005" w:tentative="1">
      <w:start w:val="1"/>
      <w:numFmt w:val="bullet"/>
      <w:lvlText w:val=""/>
      <w:lvlJc w:val="left"/>
      <w:pPr>
        <w:ind w:left="6533" w:hanging="360"/>
      </w:pPr>
      <w:rPr>
        <w:rFonts w:ascii="Wingdings" w:hAnsi="Wingdings" w:hint="default"/>
      </w:rPr>
    </w:lvl>
  </w:abstractNum>
  <w:abstractNum w:abstractNumId="14" w15:restartNumberingAfterBreak="0">
    <w:nsid w:val="6CE5627F"/>
    <w:multiLevelType w:val="hybridMultilevel"/>
    <w:tmpl w:val="700ACEFA"/>
    <w:lvl w:ilvl="0" w:tplc="080C0017">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76672418"/>
    <w:multiLevelType w:val="hybridMultilevel"/>
    <w:tmpl w:val="AE127B58"/>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6" w15:restartNumberingAfterBreak="0">
    <w:nsid w:val="7916063B"/>
    <w:multiLevelType w:val="hybridMultilevel"/>
    <w:tmpl w:val="A8F2F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83107C"/>
    <w:multiLevelType w:val="hybridMultilevel"/>
    <w:tmpl w:val="1C764B0C"/>
    <w:lvl w:ilvl="0" w:tplc="FF980DB4">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1"/>
  </w:num>
  <w:num w:numId="5">
    <w:abstractNumId w:val="15"/>
  </w:num>
  <w:num w:numId="6">
    <w:abstractNumId w:val="16"/>
  </w:num>
  <w:num w:numId="7">
    <w:abstractNumId w:val="16"/>
  </w:num>
  <w:num w:numId="8">
    <w:abstractNumId w:val="6"/>
  </w:num>
  <w:num w:numId="9">
    <w:abstractNumId w:val="13"/>
  </w:num>
  <w:num w:numId="10">
    <w:abstractNumId w:val="4"/>
  </w:num>
  <w:num w:numId="11">
    <w:abstractNumId w:val="0"/>
  </w:num>
  <w:num w:numId="12">
    <w:abstractNumId w:val="12"/>
  </w:num>
  <w:num w:numId="13">
    <w:abstractNumId w:val="14"/>
  </w:num>
  <w:num w:numId="14">
    <w:abstractNumId w:val="5"/>
  </w:num>
  <w:num w:numId="15">
    <w:abstractNumId w:val="9"/>
  </w:num>
  <w:num w:numId="16">
    <w:abstractNumId w:val="3"/>
  </w:num>
  <w:num w:numId="17">
    <w:abstractNumId w:val="11"/>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dataType w:val="textFile"/>
    <w:activeRecord w:val="-1"/>
  </w:mailMerge>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F57"/>
    <w:rsid w:val="000074F1"/>
    <w:rsid w:val="000124BB"/>
    <w:rsid w:val="00021D68"/>
    <w:rsid w:val="000228B4"/>
    <w:rsid w:val="00024A83"/>
    <w:rsid w:val="0002589B"/>
    <w:rsid w:val="00034F4A"/>
    <w:rsid w:val="00035DB5"/>
    <w:rsid w:val="00036395"/>
    <w:rsid w:val="0004252D"/>
    <w:rsid w:val="00045D23"/>
    <w:rsid w:val="00052E26"/>
    <w:rsid w:val="00056C7F"/>
    <w:rsid w:val="000606F4"/>
    <w:rsid w:val="00065F07"/>
    <w:rsid w:val="00072F3B"/>
    <w:rsid w:val="000861C3"/>
    <w:rsid w:val="000A33FE"/>
    <w:rsid w:val="000A37D7"/>
    <w:rsid w:val="000A488D"/>
    <w:rsid w:val="000B0EB3"/>
    <w:rsid w:val="000B40C2"/>
    <w:rsid w:val="000B4794"/>
    <w:rsid w:val="000B66EF"/>
    <w:rsid w:val="000B7F72"/>
    <w:rsid w:val="000C7867"/>
    <w:rsid w:val="000E61BA"/>
    <w:rsid w:val="000F785A"/>
    <w:rsid w:val="00102F45"/>
    <w:rsid w:val="001100CD"/>
    <w:rsid w:val="001165D7"/>
    <w:rsid w:val="00122653"/>
    <w:rsid w:val="00126B11"/>
    <w:rsid w:val="00151713"/>
    <w:rsid w:val="00156FAA"/>
    <w:rsid w:val="00161798"/>
    <w:rsid w:val="00162337"/>
    <w:rsid w:val="00165A76"/>
    <w:rsid w:val="0017518D"/>
    <w:rsid w:val="001860F1"/>
    <w:rsid w:val="00193F9B"/>
    <w:rsid w:val="00194937"/>
    <w:rsid w:val="001A69D5"/>
    <w:rsid w:val="001C5C5F"/>
    <w:rsid w:val="001C6043"/>
    <w:rsid w:val="001C7756"/>
    <w:rsid w:val="001D1CA0"/>
    <w:rsid w:val="001D4B8C"/>
    <w:rsid w:val="001E21F1"/>
    <w:rsid w:val="001E537A"/>
    <w:rsid w:val="001F0D39"/>
    <w:rsid w:val="001F1AE7"/>
    <w:rsid w:val="002000AD"/>
    <w:rsid w:val="0020559C"/>
    <w:rsid w:val="00213290"/>
    <w:rsid w:val="00222F5B"/>
    <w:rsid w:val="00224BDC"/>
    <w:rsid w:val="002251A0"/>
    <w:rsid w:val="0023498F"/>
    <w:rsid w:val="00250BE7"/>
    <w:rsid w:val="002522AF"/>
    <w:rsid w:val="00266B0B"/>
    <w:rsid w:val="00272354"/>
    <w:rsid w:val="00277609"/>
    <w:rsid w:val="00287268"/>
    <w:rsid w:val="002A3F32"/>
    <w:rsid w:val="002A4ACD"/>
    <w:rsid w:val="002B0AC8"/>
    <w:rsid w:val="002B36C9"/>
    <w:rsid w:val="002B7462"/>
    <w:rsid w:val="002C0588"/>
    <w:rsid w:val="002C18E1"/>
    <w:rsid w:val="002C4EF6"/>
    <w:rsid w:val="002D2304"/>
    <w:rsid w:val="002D50E6"/>
    <w:rsid w:val="002E13EE"/>
    <w:rsid w:val="002E32FA"/>
    <w:rsid w:val="002E4F56"/>
    <w:rsid w:val="002E7213"/>
    <w:rsid w:val="002F02A5"/>
    <w:rsid w:val="002F1389"/>
    <w:rsid w:val="002F3C9D"/>
    <w:rsid w:val="002F6CA2"/>
    <w:rsid w:val="00300E7C"/>
    <w:rsid w:val="003022D7"/>
    <w:rsid w:val="00307987"/>
    <w:rsid w:val="003115E9"/>
    <w:rsid w:val="003127B2"/>
    <w:rsid w:val="00320730"/>
    <w:rsid w:val="00322265"/>
    <w:rsid w:val="003265A6"/>
    <w:rsid w:val="00327415"/>
    <w:rsid w:val="00340823"/>
    <w:rsid w:val="003648B9"/>
    <w:rsid w:val="00364AD1"/>
    <w:rsid w:val="003664A2"/>
    <w:rsid w:val="00367BD0"/>
    <w:rsid w:val="0037781E"/>
    <w:rsid w:val="00382253"/>
    <w:rsid w:val="00382C09"/>
    <w:rsid w:val="00382D87"/>
    <w:rsid w:val="00384104"/>
    <w:rsid w:val="00385983"/>
    <w:rsid w:val="00386B6B"/>
    <w:rsid w:val="003B3F57"/>
    <w:rsid w:val="003B4C1C"/>
    <w:rsid w:val="003B6012"/>
    <w:rsid w:val="003C1E4F"/>
    <w:rsid w:val="003C1FD6"/>
    <w:rsid w:val="003C6CAE"/>
    <w:rsid w:val="003D631B"/>
    <w:rsid w:val="003D6A8B"/>
    <w:rsid w:val="003D7B3B"/>
    <w:rsid w:val="003E0E27"/>
    <w:rsid w:val="003E7C9B"/>
    <w:rsid w:val="003F6EC3"/>
    <w:rsid w:val="00402FA4"/>
    <w:rsid w:val="00411311"/>
    <w:rsid w:val="004155A5"/>
    <w:rsid w:val="00422046"/>
    <w:rsid w:val="00424AF2"/>
    <w:rsid w:val="00424B23"/>
    <w:rsid w:val="00426138"/>
    <w:rsid w:val="004332C8"/>
    <w:rsid w:val="00436050"/>
    <w:rsid w:val="004420CB"/>
    <w:rsid w:val="00442166"/>
    <w:rsid w:val="0044250A"/>
    <w:rsid w:val="00444DAA"/>
    <w:rsid w:val="004575D4"/>
    <w:rsid w:val="00457AEE"/>
    <w:rsid w:val="00457C44"/>
    <w:rsid w:val="00465C44"/>
    <w:rsid w:val="004741F5"/>
    <w:rsid w:val="004745F3"/>
    <w:rsid w:val="00475C95"/>
    <w:rsid w:val="00475D26"/>
    <w:rsid w:val="00476054"/>
    <w:rsid w:val="0047698C"/>
    <w:rsid w:val="004916EE"/>
    <w:rsid w:val="00492DB5"/>
    <w:rsid w:val="0049313E"/>
    <w:rsid w:val="004950D5"/>
    <w:rsid w:val="004963D4"/>
    <w:rsid w:val="004A23B6"/>
    <w:rsid w:val="004A55E9"/>
    <w:rsid w:val="004A669F"/>
    <w:rsid w:val="004B3AA4"/>
    <w:rsid w:val="004B4C54"/>
    <w:rsid w:val="004C0B9C"/>
    <w:rsid w:val="004C2520"/>
    <w:rsid w:val="004F36C3"/>
    <w:rsid w:val="004F4498"/>
    <w:rsid w:val="004F4A2C"/>
    <w:rsid w:val="004F6188"/>
    <w:rsid w:val="00502FA7"/>
    <w:rsid w:val="00517943"/>
    <w:rsid w:val="00517AC5"/>
    <w:rsid w:val="0052005D"/>
    <w:rsid w:val="00523C57"/>
    <w:rsid w:val="005245E6"/>
    <w:rsid w:val="005276DE"/>
    <w:rsid w:val="005278AF"/>
    <w:rsid w:val="005311A8"/>
    <w:rsid w:val="0053258D"/>
    <w:rsid w:val="00534B29"/>
    <w:rsid w:val="00544EE3"/>
    <w:rsid w:val="00547364"/>
    <w:rsid w:val="00550F11"/>
    <w:rsid w:val="0057200B"/>
    <w:rsid w:val="00572767"/>
    <w:rsid w:val="00573928"/>
    <w:rsid w:val="00574467"/>
    <w:rsid w:val="00574781"/>
    <w:rsid w:val="00580E2A"/>
    <w:rsid w:val="00593A69"/>
    <w:rsid w:val="00597702"/>
    <w:rsid w:val="005A070C"/>
    <w:rsid w:val="005A329B"/>
    <w:rsid w:val="005A4C7D"/>
    <w:rsid w:val="005A4E11"/>
    <w:rsid w:val="005B11CD"/>
    <w:rsid w:val="005B5D9D"/>
    <w:rsid w:val="005B7DC7"/>
    <w:rsid w:val="005C1EB2"/>
    <w:rsid w:val="005C227C"/>
    <w:rsid w:val="005C262F"/>
    <w:rsid w:val="005C37E8"/>
    <w:rsid w:val="005D7355"/>
    <w:rsid w:val="005E167A"/>
    <w:rsid w:val="005E2B74"/>
    <w:rsid w:val="005E2CBE"/>
    <w:rsid w:val="005F2A20"/>
    <w:rsid w:val="005F4C2A"/>
    <w:rsid w:val="0060061B"/>
    <w:rsid w:val="00605DEA"/>
    <w:rsid w:val="006249A4"/>
    <w:rsid w:val="006358AC"/>
    <w:rsid w:val="0064049C"/>
    <w:rsid w:val="00646036"/>
    <w:rsid w:val="006549AB"/>
    <w:rsid w:val="006559E1"/>
    <w:rsid w:val="006601C8"/>
    <w:rsid w:val="00662761"/>
    <w:rsid w:val="00663DB3"/>
    <w:rsid w:val="00666925"/>
    <w:rsid w:val="00666C6E"/>
    <w:rsid w:val="00667911"/>
    <w:rsid w:val="0068109E"/>
    <w:rsid w:val="00685C1A"/>
    <w:rsid w:val="00693289"/>
    <w:rsid w:val="006A3223"/>
    <w:rsid w:val="006A5DAE"/>
    <w:rsid w:val="006B0267"/>
    <w:rsid w:val="006B2E09"/>
    <w:rsid w:val="006B7B93"/>
    <w:rsid w:val="006C0072"/>
    <w:rsid w:val="006C0335"/>
    <w:rsid w:val="006C7715"/>
    <w:rsid w:val="006D5ED7"/>
    <w:rsid w:val="006E2F26"/>
    <w:rsid w:val="006E2FA4"/>
    <w:rsid w:val="006E617E"/>
    <w:rsid w:val="007010F7"/>
    <w:rsid w:val="00701667"/>
    <w:rsid w:val="0071069B"/>
    <w:rsid w:val="00713878"/>
    <w:rsid w:val="00716DAD"/>
    <w:rsid w:val="0071770F"/>
    <w:rsid w:val="00721395"/>
    <w:rsid w:val="00730C95"/>
    <w:rsid w:val="00741046"/>
    <w:rsid w:val="00760DEE"/>
    <w:rsid w:val="00763852"/>
    <w:rsid w:val="00780B98"/>
    <w:rsid w:val="00793A33"/>
    <w:rsid w:val="007A33A4"/>
    <w:rsid w:val="007A7DB5"/>
    <w:rsid w:val="007B6BBE"/>
    <w:rsid w:val="007B75A5"/>
    <w:rsid w:val="007C1743"/>
    <w:rsid w:val="007C2E94"/>
    <w:rsid w:val="007C52A0"/>
    <w:rsid w:val="007C550A"/>
    <w:rsid w:val="007D355F"/>
    <w:rsid w:val="007D6846"/>
    <w:rsid w:val="007D7D47"/>
    <w:rsid w:val="007E1895"/>
    <w:rsid w:val="007F2605"/>
    <w:rsid w:val="007F3B6A"/>
    <w:rsid w:val="00800557"/>
    <w:rsid w:val="00810D4C"/>
    <w:rsid w:val="00811779"/>
    <w:rsid w:val="008124AC"/>
    <w:rsid w:val="00820488"/>
    <w:rsid w:val="008206B3"/>
    <w:rsid w:val="00826D28"/>
    <w:rsid w:val="008272DE"/>
    <w:rsid w:val="0082760A"/>
    <w:rsid w:val="00831B43"/>
    <w:rsid w:val="008330B6"/>
    <w:rsid w:val="00833A3D"/>
    <w:rsid w:val="00834A2E"/>
    <w:rsid w:val="0084650F"/>
    <w:rsid w:val="00852979"/>
    <w:rsid w:val="0085449C"/>
    <w:rsid w:val="00860D71"/>
    <w:rsid w:val="00865555"/>
    <w:rsid w:val="00870538"/>
    <w:rsid w:val="00874407"/>
    <w:rsid w:val="00877B44"/>
    <w:rsid w:val="00882799"/>
    <w:rsid w:val="008964D9"/>
    <w:rsid w:val="008A1B1B"/>
    <w:rsid w:val="008A2294"/>
    <w:rsid w:val="008A3D86"/>
    <w:rsid w:val="008A5ACB"/>
    <w:rsid w:val="008A60CF"/>
    <w:rsid w:val="008C7B4A"/>
    <w:rsid w:val="008D18DD"/>
    <w:rsid w:val="008D3348"/>
    <w:rsid w:val="008D6246"/>
    <w:rsid w:val="00900323"/>
    <w:rsid w:val="00902E00"/>
    <w:rsid w:val="0091131E"/>
    <w:rsid w:val="00914FE4"/>
    <w:rsid w:val="009267F7"/>
    <w:rsid w:val="009409E9"/>
    <w:rsid w:val="009421D5"/>
    <w:rsid w:val="00944812"/>
    <w:rsid w:val="00950ABD"/>
    <w:rsid w:val="0095253D"/>
    <w:rsid w:val="00954D77"/>
    <w:rsid w:val="00955D7D"/>
    <w:rsid w:val="00961229"/>
    <w:rsid w:val="009621F3"/>
    <w:rsid w:val="00964973"/>
    <w:rsid w:val="0096674B"/>
    <w:rsid w:val="0097260E"/>
    <w:rsid w:val="009738F0"/>
    <w:rsid w:val="0097420A"/>
    <w:rsid w:val="00974EDD"/>
    <w:rsid w:val="00974FAE"/>
    <w:rsid w:val="00977960"/>
    <w:rsid w:val="0097797B"/>
    <w:rsid w:val="00982081"/>
    <w:rsid w:val="00986BAD"/>
    <w:rsid w:val="00987159"/>
    <w:rsid w:val="00993823"/>
    <w:rsid w:val="009946CC"/>
    <w:rsid w:val="009A15B5"/>
    <w:rsid w:val="009B36F2"/>
    <w:rsid w:val="009C3BEA"/>
    <w:rsid w:val="009C45C1"/>
    <w:rsid w:val="009C4B2A"/>
    <w:rsid w:val="009D63E2"/>
    <w:rsid w:val="009E0ED1"/>
    <w:rsid w:val="009E663F"/>
    <w:rsid w:val="009F02A0"/>
    <w:rsid w:val="009F5AA9"/>
    <w:rsid w:val="009F6F92"/>
    <w:rsid w:val="00A02E16"/>
    <w:rsid w:val="00A03B58"/>
    <w:rsid w:val="00A067FD"/>
    <w:rsid w:val="00A116B7"/>
    <w:rsid w:val="00A118DC"/>
    <w:rsid w:val="00A15F53"/>
    <w:rsid w:val="00A17013"/>
    <w:rsid w:val="00A20063"/>
    <w:rsid w:val="00A20E8B"/>
    <w:rsid w:val="00A31E37"/>
    <w:rsid w:val="00A4238A"/>
    <w:rsid w:val="00A479E6"/>
    <w:rsid w:val="00A533B0"/>
    <w:rsid w:val="00A56F5A"/>
    <w:rsid w:val="00A57B8B"/>
    <w:rsid w:val="00A61E6D"/>
    <w:rsid w:val="00A647F6"/>
    <w:rsid w:val="00A67D4E"/>
    <w:rsid w:val="00A70830"/>
    <w:rsid w:val="00A764C5"/>
    <w:rsid w:val="00A7761F"/>
    <w:rsid w:val="00A86932"/>
    <w:rsid w:val="00A87BDA"/>
    <w:rsid w:val="00A91D1D"/>
    <w:rsid w:val="00A91E94"/>
    <w:rsid w:val="00A94056"/>
    <w:rsid w:val="00AA02E5"/>
    <w:rsid w:val="00AA24E5"/>
    <w:rsid w:val="00AB1585"/>
    <w:rsid w:val="00AC0B24"/>
    <w:rsid w:val="00AC376E"/>
    <w:rsid w:val="00AC4356"/>
    <w:rsid w:val="00AC62FA"/>
    <w:rsid w:val="00AC7FDA"/>
    <w:rsid w:val="00AD503C"/>
    <w:rsid w:val="00AD5E45"/>
    <w:rsid w:val="00AD763F"/>
    <w:rsid w:val="00AE075C"/>
    <w:rsid w:val="00AE343D"/>
    <w:rsid w:val="00AE5B1F"/>
    <w:rsid w:val="00AF1EF1"/>
    <w:rsid w:val="00AF4830"/>
    <w:rsid w:val="00AF51C5"/>
    <w:rsid w:val="00AF56A0"/>
    <w:rsid w:val="00AF771A"/>
    <w:rsid w:val="00B02A23"/>
    <w:rsid w:val="00B135EF"/>
    <w:rsid w:val="00B13F50"/>
    <w:rsid w:val="00B16CA9"/>
    <w:rsid w:val="00B35415"/>
    <w:rsid w:val="00B44084"/>
    <w:rsid w:val="00B460B8"/>
    <w:rsid w:val="00B47B8B"/>
    <w:rsid w:val="00B51EBD"/>
    <w:rsid w:val="00B53AA6"/>
    <w:rsid w:val="00B54E7F"/>
    <w:rsid w:val="00B56630"/>
    <w:rsid w:val="00B57D7B"/>
    <w:rsid w:val="00B6279E"/>
    <w:rsid w:val="00B6769F"/>
    <w:rsid w:val="00B67A81"/>
    <w:rsid w:val="00B67AA7"/>
    <w:rsid w:val="00B867A3"/>
    <w:rsid w:val="00B9113C"/>
    <w:rsid w:val="00B9207E"/>
    <w:rsid w:val="00B95CBE"/>
    <w:rsid w:val="00B962EE"/>
    <w:rsid w:val="00BA7399"/>
    <w:rsid w:val="00BA7B97"/>
    <w:rsid w:val="00BB1559"/>
    <w:rsid w:val="00BB1CD6"/>
    <w:rsid w:val="00BB2F46"/>
    <w:rsid w:val="00BB7A8E"/>
    <w:rsid w:val="00BC675A"/>
    <w:rsid w:val="00BD13FD"/>
    <w:rsid w:val="00BD1EE0"/>
    <w:rsid w:val="00BF0199"/>
    <w:rsid w:val="00BF0E18"/>
    <w:rsid w:val="00BF3B30"/>
    <w:rsid w:val="00C001B0"/>
    <w:rsid w:val="00C07CBD"/>
    <w:rsid w:val="00C129FD"/>
    <w:rsid w:val="00C37B19"/>
    <w:rsid w:val="00C4094F"/>
    <w:rsid w:val="00C42C85"/>
    <w:rsid w:val="00C43357"/>
    <w:rsid w:val="00C45824"/>
    <w:rsid w:val="00C469B9"/>
    <w:rsid w:val="00C56D0D"/>
    <w:rsid w:val="00C64D14"/>
    <w:rsid w:val="00C67EE1"/>
    <w:rsid w:val="00C708B0"/>
    <w:rsid w:val="00C7284A"/>
    <w:rsid w:val="00C75D6F"/>
    <w:rsid w:val="00C76D85"/>
    <w:rsid w:val="00C77843"/>
    <w:rsid w:val="00C907A3"/>
    <w:rsid w:val="00C90CC4"/>
    <w:rsid w:val="00C923CE"/>
    <w:rsid w:val="00C93DE6"/>
    <w:rsid w:val="00CA0AE0"/>
    <w:rsid w:val="00CA2E1C"/>
    <w:rsid w:val="00CB205E"/>
    <w:rsid w:val="00CB3CC3"/>
    <w:rsid w:val="00CB581E"/>
    <w:rsid w:val="00CC1931"/>
    <w:rsid w:val="00CD2EE9"/>
    <w:rsid w:val="00CD73E5"/>
    <w:rsid w:val="00CE3986"/>
    <w:rsid w:val="00CE492D"/>
    <w:rsid w:val="00CE7F30"/>
    <w:rsid w:val="00D01F29"/>
    <w:rsid w:val="00D0592D"/>
    <w:rsid w:val="00D07460"/>
    <w:rsid w:val="00D245F3"/>
    <w:rsid w:val="00D27F7E"/>
    <w:rsid w:val="00D4747C"/>
    <w:rsid w:val="00D5271B"/>
    <w:rsid w:val="00D61618"/>
    <w:rsid w:val="00D659D6"/>
    <w:rsid w:val="00D67E87"/>
    <w:rsid w:val="00D717A8"/>
    <w:rsid w:val="00D77B8B"/>
    <w:rsid w:val="00D817E3"/>
    <w:rsid w:val="00D82CC0"/>
    <w:rsid w:val="00D87837"/>
    <w:rsid w:val="00D9148E"/>
    <w:rsid w:val="00D92E12"/>
    <w:rsid w:val="00DA7ACA"/>
    <w:rsid w:val="00DB749D"/>
    <w:rsid w:val="00DC47A5"/>
    <w:rsid w:val="00DC734B"/>
    <w:rsid w:val="00DE119F"/>
    <w:rsid w:val="00E06ECE"/>
    <w:rsid w:val="00E20186"/>
    <w:rsid w:val="00E201F9"/>
    <w:rsid w:val="00E21CB5"/>
    <w:rsid w:val="00E24ADF"/>
    <w:rsid w:val="00E32A3A"/>
    <w:rsid w:val="00E40AC4"/>
    <w:rsid w:val="00E46D8D"/>
    <w:rsid w:val="00E47497"/>
    <w:rsid w:val="00E54466"/>
    <w:rsid w:val="00E549D6"/>
    <w:rsid w:val="00E5576A"/>
    <w:rsid w:val="00E57F33"/>
    <w:rsid w:val="00E64753"/>
    <w:rsid w:val="00E65BCC"/>
    <w:rsid w:val="00E66B20"/>
    <w:rsid w:val="00E73B04"/>
    <w:rsid w:val="00E75BE0"/>
    <w:rsid w:val="00E809D8"/>
    <w:rsid w:val="00E83091"/>
    <w:rsid w:val="00E92C6E"/>
    <w:rsid w:val="00E9706E"/>
    <w:rsid w:val="00EA1534"/>
    <w:rsid w:val="00EA1B4E"/>
    <w:rsid w:val="00EA43CB"/>
    <w:rsid w:val="00EB0960"/>
    <w:rsid w:val="00EC680F"/>
    <w:rsid w:val="00ED0FD2"/>
    <w:rsid w:val="00ED2DD3"/>
    <w:rsid w:val="00ED7713"/>
    <w:rsid w:val="00EE12D2"/>
    <w:rsid w:val="00EF28B2"/>
    <w:rsid w:val="00EF5910"/>
    <w:rsid w:val="00EF6070"/>
    <w:rsid w:val="00F00116"/>
    <w:rsid w:val="00F02629"/>
    <w:rsid w:val="00F05918"/>
    <w:rsid w:val="00F13391"/>
    <w:rsid w:val="00F13596"/>
    <w:rsid w:val="00F14B43"/>
    <w:rsid w:val="00F20738"/>
    <w:rsid w:val="00F21432"/>
    <w:rsid w:val="00F21E74"/>
    <w:rsid w:val="00F23BFC"/>
    <w:rsid w:val="00F27425"/>
    <w:rsid w:val="00F30CB5"/>
    <w:rsid w:val="00F33F58"/>
    <w:rsid w:val="00F34380"/>
    <w:rsid w:val="00F44116"/>
    <w:rsid w:val="00F4704A"/>
    <w:rsid w:val="00F4787C"/>
    <w:rsid w:val="00F528D9"/>
    <w:rsid w:val="00F53186"/>
    <w:rsid w:val="00F57CE8"/>
    <w:rsid w:val="00F6216E"/>
    <w:rsid w:val="00F62C0F"/>
    <w:rsid w:val="00F62EE7"/>
    <w:rsid w:val="00F73565"/>
    <w:rsid w:val="00F74016"/>
    <w:rsid w:val="00F745AA"/>
    <w:rsid w:val="00F831CD"/>
    <w:rsid w:val="00F909C7"/>
    <w:rsid w:val="00F9385C"/>
    <w:rsid w:val="00F94513"/>
    <w:rsid w:val="00FF37D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36C72996"/>
  <w15:docId w15:val="{EB07228D-151B-4461-B22C-A96AB039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432"/>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body">
    <w:name w:val="Text body"/>
    <w:basedOn w:val="Normal"/>
    <w:rsid w:val="003B3F57"/>
    <w:pPr>
      <w:spacing w:after="120"/>
    </w:pPr>
  </w:style>
  <w:style w:type="paragraph" w:styleId="En-tte">
    <w:name w:val="header"/>
    <w:basedOn w:val="Normal"/>
    <w:link w:val="En-tteCar"/>
    <w:uiPriority w:val="99"/>
    <w:rsid w:val="003B3F57"/>
    <w:pPr>
      <w:suppressLineNumbers/>
      <w:tabs>
        <w:tab w:val="center" w:pos="4818"/>
        <w:tab w:val="right" w:pos="9637"/>
      </w:tabs>
    </w:pPr>
  </w:style>
  <w:style w:type="character" w:customStyle="1" w:styleId="En-tteCar">
    <w:name w:val="En-tête Car"/>
    <w:basedOn w:val="Policepardfaut"/>
    <w:link w:val="En-tte"/>
    <w:uiPriority w:val="99"/>
    <w:rsid w:val="003B3F57"/>
    <w:rPr>
      <w:rFonts w:ascii="Times New Roman" w:eastAsia="Lucida Sans Unicode" w:hAnsi="Times New Roman" w:cs="Tahoma"/>
      <w:kern w:val="3"/>
      <w:sz w:val="24"/>
      <w:szCs w:val="24"/>
      <w:lang w:eastAsia="fr-BE"/>
    </w:rPr>
  </w:style>
  <w:style w:type="paragraph" w:customStyle="1" w:styleId="TableContents">
    <w:name w:val="Table Contents"/>
    <w:basedOn w:val="Normal"/>
    <w:rsid w:val="003B3F57"/>
    <w:pPr>
      <w:suppressLineNumbers/>
    </w:pPr>
  </w:style>
  <w:style w:type="paragraph" w:styleId="Textebrut">
    <w:name w:val="Plain Text"/>
    <w:basedOn w:val="Normal"/>
    <w:link w:val="TextebrutCar"/>
    <w:rsid w:val="003B3F57"/>
    <w:pPr>
      <w:widowControl/>
    </w:pPr>
    <w:rPr>
      <w:rFonts w:ascii="Courier New" w:eastAsia="Arial" w:hAnsi="Courier New" w:cs="Courier New"/>
      <w:sz w:val="20"/>
      <w:szCs w:val="20"/>
    </w:rPr>
  </w:style>
  <w:style w:type="character" w:customStyle="1" w:styleId="TextebrutCar">
    <w:name w:val="Texte brut Car"/>
    <w:basedOn w:val="Policepardfaut"/>
    <w:link w:val="Textebrut"/>
    <w:rsid w:val="003B3F57"/>
    <w:rPr>
      <w:rFonts w:ascii="Courier New" w:eastAsia="Arial" w:hAnsi="Courier New" w:cs="Courier New"/>
      <w:kern w:val="3"/>
      <w:sz w:val="20"/>
      <w:szCs w:val="20"/>
      <w:lang w:eastAsia="fr-BE"/>
    </w:rPr>
  </w:style>
  <w:style w:type="paragraph" w:styleId="Pieddepage">
    <w:name w:val="footer"/>
    <w:basedOn w:val="Normal"/>
    <w:link w:val="PieddepageCar"/>
    <w:uiPriority w:val="99"/>
    <w:unhideWhenUsed/>
    <w:rsid w:val="00E92C6E"/>
    <w:pPr>
      <w:tabs>
        <w:tab w:val="center" w:pos="4513"/>
        <w:tab w:val="right" w:pos="9026"/>
      </w:tabs>
    </w:pPr>
  </w:style>
  <w:style w:type="character" w:customStyle="1" w:styleId="PieddepageCar">
    <w:name w:val="Pied de page Car"/>
    <w:basedOn w:val="Policepardfaut"/>
    <w:link w:val="Pieddepage"/>
    <w:uiPriority w:val="99"/>
    <w:rsid w:val="00E92C6E"/>
    <w:rPr>
      <w:rFonts w:ascii="Times New Roman" w:eastAsia="Lucida Sans Unicode" w:hAnsi="Times New Roman" w:cs="Tahoma"/>
      <w:kern w:val="3"/>
      <w:sz w:val="24"/>
      <w:szCs w:val="24"/>
      <w:lang w:eastAsia="fr-BE"/>
    </w:rPr>
  </w:style>
  <w:style w:type="paragraph" w:styleId="Textedebulles">
    <w:name w:val="Balloon Text"/>
    <w:basedOn w:val="Normal"/>
    <w:link w:val="TextedebullesCar"/>
    <w:uiPriority w:val="99"/>
    <w:semiHidden/>
    <w:unhideWhenUsed/>
    <w:rsid w:val="00E92C6E"/>
    <w:rPr>
      <w:rFonts w:ascii="Tahoma" w:hAnsi="Tahoma"/>
      <w:sz w:val="16"/>
      <w:szCs w:val="16"/>
    </w:rPr>
  </w:style>
  <w:style w:type="character" w:customStyle="1" w:styleId="TextedebullesCar">
    <w:name w:val="Texte de bulles Car"/>
    <w:basedOn w:val="Policepardfaut"/>
    <w:link w:val="Textedebulles"/>
    <w:uiPriority w:val="99"/>
    <w:semiHidden/>
    <w:rsid w:val="00E92C6E"/>
    <w:rPr>
      <w:rFonts w:ascii="Tahoma" w:eastAsia="Lucida Sans Unicode" w:hAnsi="Tahoma" w:cs="Tahoma"/>
      <w:kern w:val="3"/>
      <w:sz w:val="16"/>
      <w:szCs w:val="16"/>
      <w:lang w:eastAsia="fr-BE"/>
    </w:rPr>
  </w:style>
  <w:style w:type="paragraph" w:styleId="Corpsdetexte">
    <w:name w:val="Body Text"/>
    <w:basedOn w:val="Normal"/>
    <w:link w:val="CorpsdetexteCar"/>
    <w:rsid w:val="00AE343D"/>
    <w:pPr>
      <w:widowControl/>
      <w:suppressAutoHyphens w:val="0"/>
      <w:autoSpaceDN/>
      <w:jc w:val="both"/>
      <w:textAlignment w:val="auto"/>
    </w:pPr>
    <w:rPr>
      <w:rFonts w:eastAsia="Times New Roman" w:cs="Times New Roman"/>
      <w:kern w:val="0"/>
      <w:sz w:val="26"/>
      <w:szCs w:val="20"/>
      <w:lang w:val="fr-FR" w:eastAsia="fr-FR"/>
    </w:rPr>
  </w:style>
  <w:style w:type="character" w:customStyle="1" w:styleId="CorpsdetexteCar">
    <w:name w:val="Corps de texte Car"/>
    <w:basedOn w:val="Policepardfaut"/>
    <w:link w:val="Corpsdetexte"/>
    <w:rsid w:val="00AE343D"/>
    <w:rPr>
      <w:rFonts w:ascii="Times New Roman" w:eastAsia="Times New Roman" w:hAnsi="Times New Roman" w:cs="Times New Roman"/>
      <w:sz w:val="26"/>
      <w:szCs w:val="20"/>
      <w:lang w:val="fr-FR" w:eastAsia="fr-FR"/>
    </w:rPr>
  </w:style>
  <w:style w:type="paragraph" w:styleId="Corpsdetexte2">
    <w:name w:val="Body Text 2"/>
    <w:basedOn w:val="Normal"/>
    <w:link w:val="Corpsdetexte2Car"/>
    <w:uiPriority w:val="99"/>
    <w:semiHidden/>
    <w:unhideWhenUsed/>
    <w:rsid w:val="00AE343D"/>
    <w:pPr>
      <w:spacing w:after="120" w:line="480" w:lineRule="auto"/>
    </w:pPr>
  </w:style>
  <w:style w:type="character" w:customStyle="1" w:styleId="Corpsdetexte2Car">
    <w:name w:val="Corps de texte 2 Car"/>
    <w:basedOn w:val="Policepardfaut"/>
    <w:link w:val="Corpsdetexte2"/>
    <w:uiPriority w:val="99"/>
    <w:semiHidden/>
    <w:rsid w:val="00AE343D"/>
    <w:rPr>
      <w:rFonts w:ascii="Times New Roman" w:eastAsia="Lucida Sans Unicode" w:hAnsi="Times New Roman" w:cs="Tahoma"/>
      <w:kern w:val="3"/>
      <w:sz w:val="24"/>
      <w:szCs w:val="24"/>
      <w:lang w:eastAsia="fr-BE"/>
    </w:rPr>
  </w:style>
  <w:style w:type="paragraph" w:styleId="Paragraphedeliste">
    <w:name w:val="List Paragraph"/>
    <w:basedOn w:val="Normal"/>
    <w:uiPriority w:val="34"/>
    <w:qFormat/>
    <w:rsid w:val="00AE343D"/>
    <w:pPr>
      <w:ind w:left="720"/>
      <w:contextualSpacing/>
    </w:pPr>
  </w:style>
  <w:style w:type="character" w:styleId="Textedelespacerserv">
    <w:name w:val="Placeholder Text"/>
    <w:basedOn w:val="Policepardfaut"/>
    <w:uiPriority w:val="99"/>
    <w:semiHidden/>
    <w:rsid w:val="00F34380"/>
    <w:rPr>
      <w:color w:val="808080"/>
    </w:rPr>
  </w:style>
  <w:style w:type="paragraph" w:customStyle="1" w:styleId="Standard">
    <w:name w:val="Standard"/>
    <w:rsid w:val="00A764C5"/>
    <w:pPr>
      <w:suppressAutoHyphens/>
      <w:autoSpaceDN w:val="0"/>
      <w:spacing w:after="0" w:line="240" w:lineRule="auto"/>
      <w:textAlignment w:val="baseline"/>
    </w:pPr>
    <w:rPr>
      <w:rFonts w:ascii="Times New Roman" w:eastAsia="Times New Roman" w:hAnsi="Times New Roman" w:cs="Times New Roman"/>
      <w:kern w:val="3"/>
      <w:sz w:val="24"/>
      <w:szCs w:val="24"/>
      <w:lang w:eastAsia="en-GB"/>
    </w:rPr>
  </w:style>
  <w:style w:type="table" w:styleId="Grilledutableau">
    <w:name w:val="Table Grid"/>
    <w:basedOn w:val="TableauNormal"/>
    <w:uiPriority w:val="59"/>
    <w:rsid w:val="00A76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ttetekstinspringen2">
    <w:name w:val="Platte tekst inspringen 2"/>
    <w:basedOn w:val="Normal"/>
    <w:rsid w:val="004A669F"/>
    <w:pPr>
      <w:widowControl/>
      <w:autoSpaceDN/>
      <w:ind w:left="180"/>
      <w:textAlignment w:val="auto"/>
    </w:pPr>
    <w:rPr>
      <w:rFonts w:ascii="Verdana" w:eastAsia="Times New Roman" w:hAnsi="Verdana" w:cs="Arial"/>
      <w:kern w:val="0"/>
      <w:sz w:val="16"/>
      <w:lang w:val="nl-NL" w:eastAsia="ar-SA"/>
    </w:rPr>
  </w:style>
  <w:style w:type="paragraph" w:styleId="Notedebasdepage">
    <w:name w:val="footnote text"/>
    <w:aliases w:val="fn,footnote text,Footnotes,Footnote ak Car,Ftnote-texte,Note de bas de page Car Car,Footnote Text Char,Car Char,Car, Car Char, Car,Note de bas de page Car1 Car15,Note de bas de page Car Car Car15"/>
    <w:basedOn w:val="Normal"/>
    <w:link w:val="NotedebasdepageCar"/>
    <w:unhideWhenUsed/>
    <w:qFormat/>
    <w:rsid w:val="00D817E3"/>
    <w:rPr>
      <w:sz w:val="20"/>
      <w:szCs w:val="20"/>
    </w:rPr>
  </w:style>
  <w:style w:type="character" w:customStyle="1" w:styleId="NotedebasdepageCar">
    <w:name w:val="Note de bas de page Car"/>
    <w:aliases w:val="fn Car,footnote text Car,Footnotes Car,Footnote ak Car Car,Ftnote-texte Car,Note de bas de page Car Car Car,Footnote Text Char Car,Car Char Car,Car Car, Car Char Car, Car Car,Note de bas de page Car1 Car15 Car"/>
    <w:basedOn w:val="Policepardfaut"/>
    <w:link w:val="Notedebasdepage"/>
    <w:qFormat/>
    <w:rsid w:val="00D817E3"/>
    <w:rPr>
      <w:rFonts w:ascii="Times New Roman" w:eastAsia="Lucida Sans Unicode" w:hAnsi="Times New Roman" w:cs="Tahoma"/>
      <w:kern w:val="3"/>
      <w:sz w:val="20"/>
      <w:szCs w:val="20"/>
      <w:lang w:eastAsia="fr-BE"/>
    </w:rPr>
  </w:style>
  <w:style w:type="character" w:styleId="Appelnotedebasdep">
    <w:name w:val="footnote reference"/>
    <w:aliases w:val="bkVoetnootmarkering,appel de note bas de page,Ref,de nota al pie,fr,Note de bas de page Car1,Appel note de bas de page,callout,Footnote Refernece,Footnotes refss,Footnote Reference Superscript,BVI fnr,Footnote Reference Number,FR"/>
    <w:basedOn w:val="Policepardfaut"/>
    <w:unhideWhenUsed/>
    <w:rsid w:val="00D817E3"/>
    <w:rPr>
      <w:vertAlign w:val="superscript"/>
    </w:rPr>
  </w:style>
  <w:style w:type="character" w:styleId="Lienhypertexte">
    <w:name w:val="Hyperlink"/>
    <w:basedOn w:val="Policepardfaut"/>
    <w:uiPriority w:val="99"/>
    <w:unhideWhenUsed/>
    <w:rsid w:val="005A070C"/>
    <w:rPr>
      <w:color w:val="0000FF" w:themeColor="hyperlink"/>
      <w:u w:val="single"/>
    </w:rPr>
  </w:style>
  <w:style w:type="paragraph" w:customStyle="1" w:styleId="Default">
    <w:name w:val="Default"/>
    <w:rsid w:val="00F528D9"/>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1538">
      <w:bodyDiv w:val="1"/>
      <w:marLeft w:val="0"/>
      <w:marRight w:val="0"/>
      <w:marTop w:val="0"/>
      <w:marBottom w:val="0"/>
      <w:divBdr>
        <w:top w:val="none" w:sz="0" w:space="0" w:color="auto"/>
        <w:left w:val="none" w:sz="0" w:space="0" w:color="auto"/>
        <w:bottom w:val="none" w:sz="0" w:space="0" w:color="auto"/>
        <w:right w:val="none" w:sz="0" w:space="0" w:color="auto"/>
      </w:divBdr>
    </w:div>
    <w:div w:id="218595049">
      <w:bodyDiv w:val="1"/>
      <w:marLeft w:val="0"/>
      <w:marRight w:val="0"/>
      <w:marTop w:val="0"/>
      <w:marBottom w:val="0"/>
      <w:divBdr>
        <w:top w:val="none" w:sz="0" w:space="0" w:color="auto"/>
        <w:left w:val="none" w:sz="0" w:space="0" w:color="auto"/>
        <w:bottom w:val="none" w:sz="0" w:space="0" w:color="auto"/>
        <w:right w:val="none" w:sz="0" w:space="0" w:color="auto"/>
      </w:divBdr>
    </w:div>
    <w:div w:id="568996907">
      <w:bodyDiv w:val="1"/>
      <w:marLeft w:val="0"/>
      <w:marRight w:val="0"/>
      <w:marTop w:val="0"/>
      <w:marBottom w:val="0"/>
      <w:divBdr>
        <w:top w:val="none" w:sz="0" w:space="0" w:color="auto"/>
        <w:left w:val="none" w:sz="0" w:space="0" w:color="auto"/>
        <w:bottom w:val="none" w:sz="0" w:space="0" w:color="auto"/>
        <w:right w:val="none" w:sz="0" w:space="0" w:color="auto"/>
      </w:divBdr>
    </w:div>
    <w:div w:id="625740485">
      <w:bodyDiv w:val="1"/>
      <w:marLeft w:val="0"/>
      <w:marRight w:val="0"/>
      <w:marTop w:val="0"/>
      <w:marBottom w:val="0"/>
      <w:divBdr>
        <w:top w:val="none" w:sz="0" w:space="0" w:color="auto"/>
        <w:left w:val="none" w:sz="0" w:space="0" w:color="auto"/>
        <w:bottom w:val="none" w:sz="0" w:space="0" w:color="auto"/>
        <w:right w:val="none" w:sz="0" w:space="0" w:color="auto"/>
      </w:divBdr>
    </w:div>
    <w:div w:id="682754277">
      <w:bodyDiv w:val="1"/>
      <w:marLeft w:val="0"/>
      <w:marRight w:val="0"/>
      <w:marTop w:val="0"/>
      <w:marBottom w:val="0"/>
      <w:divBdr>
        <w:top w:val="none" w:sz="0" w:space="0" w:color="auto"/>
        <w:left w:val="none" w:sz="0" w:space="0" w:color="auto"/>
        <w:bottom w:val="none" w:sz="0" w:space="0" w:color="auto"/>
        <w:right w:val="none" w:sz="0" w:space="0" w:color="auto"/>
      </w:divBdr>
    </w:div>
    <w:div w:id="821046933">
      <w:bodyDiv w:val="1"/>
      <w:marLeft w:val="0"/>
      <w:marRight w:val="0"/>
      <w:marTop w:val="0"/>
      <w:marBottom w:val="0"/>
      <w:divBdr>
        <w:top w:val="none" w:sz="0" w:space="0" w:color="auto"/>
        <w:left w:val="none" w:sz="0" w:space="0" w:color="auto"/>
        <w:bottom w:val="none" w:sz="0" w:space="0" w:color="auto"/>
        <w:right w:val="none" w:sz="0" w:space="0" w:color="auto"/>
      </w:divBdr>
    </w:div>
    <w:div w:id="845171115">
      <w:bodyDiv w:val="1"/>
      <w:marLeft w:val="0"/>
      <w:marRight w:val="0"/>
      <w:marTop w:val="0"/>
      <w:marBottom w:val="0"/>
      <w:divBdr>
        <w:top w:val="none" w:sz="0" w:space="0" w:color="auto"/>
        <w:left w:val="none" w:sz="0" w:space="0" w:color="auto"/>
        <w:bottom w:val="none" w:sz="0" w:space="0" w:color="auto"/>
        <w:right w:val="none" w:sz="0" w:space="0" w:color="auto"/>
      </w:divBdr>
    </w:div>
    <w:div w:id="910850877">
      <w:bodyDiv w:val="1"/>
      <w:marLeft w:val="0"/>
      <w:marRight w:val="0"/>
      <w:marTop w:val="0"/>
      <w:marBottom w:val="0"/>
      <w:divBdr>
        <w:top w:val="none" w:sz="0" w:space="0" w:color="auto"/>
        <w:left w:val="none" w:sz="0" w:space="0" w:color="auto"/>
        <w:bottom w:val="none" w:sz="0" w:space="0" w:color="auto"/>
        <w:right w:val="none" w:sz="0" w:space="0" w:color="auto"/>
      </w:divBdr>
    </w:div>
    <w:div w:id="976373217">
      <w:bodyDiv w:val="1"/>
      <w:marLeft w:val="0"/>
      <w:marRight w:val="0"/>
      <w:marTop w:val="0"/>
      <w:marBottom w:val="0"/>
      <w:divBdr>
        <w:top w:val="none" w:sz="0" w:space="0" w:color="auto"/>
        <w:left w:val="none" w:sz="0" w:space="0" w:color="auto"/>
        <w:bottom w:val="none" w:sz="0" w:space="0" w:color="auto"/>
        <w:right w:val="none" w:sz="0" w:space="0" w:color="auto"/>
      </w:divBdr>
    </w:div>
    <w:div w:id="1123961424">
      <w:bodyDiv w:val="1"/>
      <w:marLeft w:val="0"/>
      <w:marRight w:val="0"/>
      <w:marTop w:val="0"/>
      <w:marBottom w:val="0"/>
      <w:divBdr>
        <w:top w:val="none" w:sz="0" w:space="0" w:color="auto"/>
        <w:left w:val="none" w:sz="0" w:space="0" w:color="auto"/>
        <w:bottom w:val="none" w:sz="0" w:space="0" w:color="auto"/>
        <w:right w:val="none" w:sz="0" w:space="0" w:color="auto"/>
      </w:divBdr>
    </w:div>
    <w:div w:id="1255434094">
      <w:bodyDiv w:val="1"/>
      <w:marLeft w:val="0"/>
      <w:marRight w:val="0"/>
      <w:marTop w:val="0"/>
      <w:marBottom w:val="0"/>
      <w:divBdr>
        <w:top w:val="none" w:sz="0" w:space="0" w:color="auto"/>
        <w:left w:val="none" w:sz="0" w:space="0" w:color="auto"/>
        <w:bottom w:val="none" w:sz="0" w:space="0" w:color="auto"/>
        <w:right w:val="none" w:sz="0" w:space="0" w:color="auto"/>
      </w:divBdr>
    </w:div>
    <w:div w:id="1401949423">
      <w:bodyDiv w:val="1"/>
      <w:marLeft w:val="0"/>
      <w:marRight w:val="0"/>
      <w:marTop w:val="0"/>
      <w:marBottom w:val="0"/>
      <w:divBdr>
        <w:top w:val="none" w:sz="0" w:space="0" w:color="auto"/>
        <w:left w:val="none" w:sz="0" w:space="0" w:color="auto"/>
        <w:bottom w:val="none" w:sz="0" w:space="0" w:color="auto"/>
        <w:right w:val="none" w:sz="0" w:space="0" w:color="auto"/>
      </w:divBdr>
    </w:div>
    <w:div w:id="1826505630">
      <w:bodyDiv w:val="1"/>
      <w:marLeft w:val="0"/>
      <w:marRight w:val="0"/>
      <w:marTop w:val="0"/>
      <w:marBottom w:val="0"/>
      <w:divBdr>
        <w:top w:val="none" w:sz="0" w:space="0" w:color="auto"/>
        <w:left w:val="none" w:sz="0" w:space="0" w:color="auto"/>
        <w:bottom w:val="none" w:sz="0" w:space="0" w:color="auto"/>
        <w:right w:val="none" w:sz="0" w:space="0" w:color="auto"/>
      </w:divBdr>
    </w:div>
    <w:div w:id="1837651902">
      <w:bodyDiv w:val="1"/>
      <w:marLeft w:val="0"/>
      <w:marRight w:val="0"/>
      <w:marTop w:val="0"/>
      <w:marBottom w:val="0"/>
      <w:divBdr>
        <w:top w:val="none" w:sz="0" w:space="0" w:color="auto"/>
        <w:left w:val="none" w:sz="0" w:space="0" w:color="auto"/>
        <w:bottom w:val="none" w:sz="0" w:space="0" w:color="auto"/>
        <w:right w:val="none" w:sz="0" w:space="0" w:color="auto"/>
      </w:divBdr>
    </w:div>
    <w:div w:id="203496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juportal.be" TargetMode="External"/><Relationship Id="rId1" Type="http://schemas.openxmlformats.org/officeDocument/2006/relationships/hyperlink" Target="http://www.terralaboris.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9D6C47F73248759E7596D5806877F3"/>
        <w:category>
          <w:name w:val="Général"/>
          <w:gallery w:val="placeholder"/>
        </w:category>
        <w:types>
          <w:type w:val="bbPlcHdr"/>
        </w:types>
        <w:behaviors>
          <w:behavior w:val="content"/>
        </w:behaviors>
        <w:guid w:val="{C8C14EA8-54F8-494E-96A5-8F6F5DD2106D}"/>
      </w:docPartPr>
      <w:docPartBody>
        <w:p w:rsidR="00744A85" w:rsidRDefault="009D290D" w:rsidP="009D290D">
          <w:pPr>
            <w:pStyle w:val="7D9D6C47F73248759E7596D5806877F3"/>
          </w:pPr>
          <w:r w:rsidRPr="00BE4692">
            <w:rPr>
              <w:rStyle w:val="Textedelespacerserv"/>
            </w:rPr>
            <w:t>Cliquez ici pour entrer une date.</w:t>
          </w:r>
        </w:p>
      </w:docPartBody>
    </w:docPart>
    <w:docPart>
      <w:docPartPr>
        <w:name w:val="1EDD189C36DD456687215595C0F14F15"/>
        <w:category>
          <w:name w:val="Général"/>
          <w:gallery w:val="placeholder"/>
        </w:category>
        <w:types>
          <w:type w:val="bbPlcHdr"/>
        </w:types>
        <w:behaviors>
          <w:behavior w:val="content"/>
        </w:behaviors>
        <w:guid w:val="{3690A6CD-1A8A-4A2A-A006-60A6093956F1}"/>
      </w:docPartPr>
      <w:docPartBody>
        <w:p w:rsidR="00D5238A" w:rsidRDefault="00D5238A" w:rsidP="00D5238A">
          <w:pPr>
            <w:pStyle w:val="1EDD189C36DD456687215595C0F14F15"/>
          </w:pPr>
          <w:r>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0"/>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E7F"/>
    <w:rsid w:val="00132A18"/>
    <w:rsid w:val="001C7C29"/>
    <w:rsid w:val="0022769E"/>
    <w:rsid w:val="003525CB"/>
    <w:rsid w:val="00680863"/>
    <w:rsid w:val="00744A85"/>
    <w:rsid w:val="007F5E28"/>
    <w:rsid w:val="009D290D"/>
    <w:rsid w:val="00B21E7F"/>
    <w:rsid w:val="00B22F33"/>
    <w:rsid w:val="00BD7EDE"/>
    <w:rsid w:val="00BE1455"/>
    <w:rsid w:val="00CE3C72"/>
    <w:rsid w:val="00D5238A"/>
    <w:rsid w:val="00DF5B3A"/>
    <w:rsid w:val="00E87791"/>
    <w:rsid w:val="00F41666"/>
    <w:rsid w:val="00F64E41"/>
    <w:rsid w:val="00F80431"/>
    <w:rsid w:val="00FE39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5238A"/>
  </w:style>
  <w:style w:type="paragraph" w:customStyle="1" w:styleId="7D9D6C47F73248759E7596D5806877F3">
    <w:name w:val="7D9D6C47F73248759E7596D5806877F3"/>
    <w:rsid w:val="009D290D"/>
    <w:pPr>
      <w:spacing w:after="160" w:line="259" w:lineRule="auto"/>
    </w:pPr>
  </w:style>
  <w:style w:type="paragraph" w:customStyle="1" w:styleId="1EDD189C36DD456687215595C0F14F15">
    <w:name w:val="1EDD189C36DD456687215595C0F14F15"/>
    <w:rsid w:val="00D5238A"/>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N° de BCE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7384C1-D593-428B-BDDA-54AA01DA0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8097</Words>
  <Characters>44535</Characters>
  <Application>Microsoft Office Word</Application>
  <DocSecurity>0</DocSecurity>
  <Lines>371</Lines>
  <Paragraphs>105</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52527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Date Citation</dc:creator>
  <dc:description>/2001</dc:description>
  <cp:lastModifiedBy>Maréchal Denis</cp:lastModifiedBy>
  <cp:revision>3</cp:revision>
  <cp:lastPrinted>2022-04-24T21:05:00Z</cp:lastPrinted>
  <dcterms:created xsi:type="dcterms:W3CDTF">2022-11-29T18:28:00Z</dcterms:created>
  <dcterms:modified xsi:type="dcterms:W3CDTF">2022-12-08T19:53:00Z</dcterms:modified>
</cp:coreProperties>
</file>